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bookmarkStart w:id="106" w:name="_GoBack"/>
      <w:bookmarkEnd w:id="106"/>
    </w:p>
    <w:p>
      <w:pPr>
        <w:rPr>
          <w:rFonts w:ascii="Times New Roman" w:hAnsi="Times New Roman"/>
        </w:rPr>
      </w:pPr>
    </w:p>
    <w:p>
      <w:pPr>
        <w:jc w:val="center"/>
        <w:rPr>
          <w:rFonts w:ascii="Times New Roman" w:hAnsi="Times New Roman" w:eastAsia="方正小标宋简体"/>
          <w:b/>
          <w:sz w:val="52"/>
          <w:szCs w:val="52"/>
        </w:rPr>
      </w:pPr>
      <w:r>
        <w:rPr>
          <w:rFonts w:ascii="Times New Roman" w:hAnsi="Times New Roman" w:eastAsia="方正小标宋简体"/>
          <w:b/>
          <w:sz w:val="52"/>
          <w:szCs w:val="52"/>
        </w:rPr>
        <w:t>煤矿开采技术专业（专科）</w:t>
      </w:r>
    </w:p>
    <w:p>
      <w:pPr>
        <w:jc w:val="center"/>
        <w:rPr>
          <w:rFonts w:ascii="Times New Roman" w:hAnsi="Times New Roman" w:eastAsia="方正小标宋简体"/>
          <w:b/>
          <w:sz w:val="52"/>
          <w:szCs w:val="52"/>
        </w:rPr>
      </w:pPr>
      <w:r>
        <w:rPr>
          <w:rFonts w:ascii="Times New Roman" w:hAnsi="Times New Roman" w:eastAsia="方正小标宋简体"/>
          <w:b/>
          <w:sz w:val="52"/>
          <w:szCs w:val="52"/>
        </w:rPr>
        <w:t>专业培养方案</w:t>
      </w:r>
    </w:p>
    <w:p>
      <w:pPr>
        <w:rPr>
          <w:rFonts w:ascii="Times New Roman" w:hAnsi="Times New Roman" w:eastAsia="方正小标宋简体"/>
          <w:sz w:val="52"/>
          <w:szCs w:val="52"/>
        </w:rPr>
      </w:pPr>
    </w:p>
    <w:p>
      <w:pPr>
        <w:rPr>
          <w:rFonts w:ascii="Times New Roman" w:hAnsi="Times New Roman" w:eastAsia="方正小标宋简体"/>
          <w:sz w:val="52"/>
          <w:szCs w:val="52"/>
        </w:rPr>
      </w:pPr>
    </w:p>
    <w:p>
      <w:pPr>
        <w:rPr>
          <w:rFonts w:ascii="Times New Roman" w:hAnsi="Times New Roman" w:eastAsia="方正小标宋简体"/>
          <w:sz w:val="52"/>
          <w:szCs w:val="52"/>
        </w:rPr>
      </w:pPr>
    </w:p>
    <w:p>
      <w:pPr>
        <w:rPr>
          <w:rFonts w:ascii="Times New Roman" w:hAnsi="Times New Roman" w:eastAsia="方正小标宋简体"/>
          <w:sz w:val="52"/>
          <w:szCs w:val="52"/>
        </w:rPr>
      </w:pPr>
    </w:p>
    <w:p>
      <w:pPr>
        <w:rPr>
          <w:rFonts w:ascii="Times New Roman" w:hAnsi="Times New Roman" w:eastAsia="方正小标宋简体"/>
          <w:sz w:val="52"/>
          <w:szCs w:val="52"/>
        </w:rPr>
      </w:pPr>
    </w:p>
    <w:p>
      <w:pPr>
        <w:rPr>
          <w:rFonts w:ascii="Times New Roman" w:hAnsi="Times New Roman" w:eastAsia="方正小标宋简体"/>
          <w:sz w:val="52"/>
          <w:szCs w:val="52"/>
        </w:rPr>
      </w:pPr>
    </w:p>
    <w:p>
      <w:pPr>
        <w:jc w:val="center"/>
        <w:rPr>
          <w:rFonts w:ascii="Times New Roman" w:hAnsi="Times New Roman" w:eastAsia="方正小标宋简体"/>
          <w:sz w:val="44"/>
          <w:szCs w:val="44"/>
        </w:rPr>
      </w:pPr>
      <w:r>
        <w:rPr>
          <w:rFonts w:ascii="Times New Roman" w:hAnsi="Times New Roman" w:eastAsia="方正小标宋简体"/>
          <w:sz w:val="44"/>
          <w:szCs w:val="44"/>
        </w:rPr>
        <w:t>国家开放大学煤炭学院</w:t>
      </w:r>
    </w:p>
    <w:p>
      <w:pPr>
        <w:jc w:val="center"/>
        <w:rPr>
          <w:rFonts w:ascii="Times New Roman" w:hAnsi="Times New Roman" w:eastAsia="方正小标宋简体"/>
          <w:sz w:val="44"/>
          <w:szCs w:val="44"/>
        </w:rPr>
      </w:pPr>
      <w:r>
        <w:rPr>
          <w:rFonts w:ascii="Times New Roman" w:hAnsi="Times New Roman" w:eastAsia="方正小标宋简体"/>
          <w:sz w:val="44"/>
          <w:szCs w:val="44"/>
        </w:rPr>
        <w:t>2015年0</w:t>
      </w:r>
      <w:r>
        <w:rPr>
          <w:rFonts w:hint="eastAsia" w:ascii="Times New Roman" w:hAnsi="Times New Roman" w:eastAsia="方正小标宋简体"/>
          <w:sz w:val="44"/>
          <w:szCs w:val="44"/>
        </w:rPr>
        <w:t>8</w:t>
      </w:r>
      <w:r>
        <w:rPr>
          <w:rFonts w:ascii="Times New Roman" w:hAnsi="Times New Roman" w:eastAsia="方正小标宋简体"/>
          <w:sz w:val="44"/>
          <w:szCs w:val="44"/>
        </w:rPr>
        <w:t>月</w:t>
      </w:r>
      <w:r>
        <w:rPr>
          <w:rFonts w:hint="eastAsia" w:ascii="Times New Roman" w:hAnsi="Times New Roman" w:eastAsia="方正小标宋简体"/>
          <w:sz w:val="44"/>
          <w:szCs w:val="44"/>
        </w:rPr>
        <w:t>10</w:t>
      </w:r>
      <w:r>
        <w:rPr>
          <w:rFonts w:ascii="Times New Roman" w:hAnsi="Times New Roman" w:eastAsia="方正小标宋简体"/>
          <w:sz w:val="44"/>
          <w:szCs w:val="44"/>
        </w:rPr>
        <w:t>日</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jc w:val="center"/>
        <w:rPr>
          <w:rFonts w:ascii="Times New Roman" w:hAnsi="Times New Roman"/>
          <w:b/>
          <w:sz w:val="36"/>
          <w:szCs w:val="36"/>
        </w:rPr>
      </w:pPr>
      <w:r>
        <w:rPr>
          <w:rFonts w:ascii="Times New Roman" w:hAnsi="Times New Roman"/>
          <w:b/>
          <w:sz w:val="36"/>
          <w:szCs w:val="36"/>
        </w:rPr>
        <w:t>目录</w:t>
      </w:r>
    </w:p>
    <w:p>
      <w:pPr>
        <w:pStyle w:val="13"/>
        <w:tabs>
          <w:tab w:val="right" w:leader="dot" w:pos="8296"/>
        </w:tabs>
        <w:spacing w:line="400" w:lineRule="exact"/>
        <w:rPr>
          <w:rFonts w:ascii="Times New Roman" w:hAnsi="Times New Roman" w:cs="Times New Roman" w:eastAsiaTheme="minorEastAsia"/>
          <w:sz w:val="24"/>
          <w:szCs w:val="24"/>
        </w:rPr>
      </w:pPr>
      <w:r>
        <w:rPr>
          <w:rFonts w:ascii="Times New Roman" w:hAnsi="Times New Roman" w:eastAsia="华文中宋" w:cs="Times New Roman"/>
          <w:b/>
          <w:bCs/>
          <w:sz w:val="28"/>
          <w:szCs w:val="28"/>
        </w:rPr>
        <w:fldChar w:fldCharType="begin"/>
      </w:r>
      <w:r>
        <w:rPr>
          <w:rFonts w:ascii="Times New Roman" w:hAnsi="Times New Roman" w:eastAsia="华文中宋" w:cs="Times New Roman"/>
          <w:b/>
          <w:bCs/>
          <w:sz w:val="28"/>
          <w:szCs w:val="28"/>
        </w:rPr>
        <w:instrText xml:space="preserve">TOC \o "1-3" \h \u </w:instrText>
      </w:r>
      <w:r>
        <w:rPr>
          <w:rFonts w:ascii="Times New Roman" w:hAnsi="Times New Roman" w:eastAsia="华文中宋" w:cs="Times New Roman"/>
          <w:b/>
          <w:bCs/>
          <w:sz w:val="28"/>
          <w:szCs w:val="28"/>
        </w:rPr>
        <w:fldChar w:fldCharType="separate"/>
      </w:r>
      <w:r>
        <w:fldChar w:fldCharType="begin"/>
      </w:r>
      <w:r>
        <w:instrText xml:space="preserve"> HYPERLINK \l "_Toc423019081" </w:instrText>
      </w:r>
      <w:r>
        <w:fldChar w:fldCharType="separate"/>
      </w:r>
      <w:r>
        <w:rPr>
          <w:rStyle w:val="25"/>
          <w:rFonts w:ascii="Times New Roman" w:hAnsi="Times New Roman" w:cs="Times New Roman" w:eastAsiaTheme="minorEastAsia"/>
          <w:b/>
          <w:sz w:val="24"/>
          <w:szCs w:val="24"/>
        </w:rPr>
        <w:t>第一部分开办煤矿开采技术专业（专科）的可行性分析报告</w:t>
      </w:r>
      <w:r>
        <w:rPr>
          <w:rFonts w:ascii="Times New Roman" w:hAnsi="Times New Roman" w:cs="Times New Roman" w:eastAsiaTheme="minorEastAsia"/>
          <w:sz w:val="24"/>
          <w:szCs w:val="24"/>
        </w:rPr>
        <w:tab/>
      </w:r>
      <w:r>
        <w:rPr>
          <w:rFonts w:ascii="Times New Roman" w:hAnsi="Times New Roman" w:cs="Times New Roman" w:eastAsiaTheme="minorEastAsia"/>
          <w:b/>
          <w:sz w:val="24"/>
          <w:szCs w:val="24"/>
        </w:rPr>
        <w:fldChar w:fldCharType="begin"/>
      </w:r>
      <w:r>
        <w:rPr>
          <w:rFonts w:ascii="Times New Roman" w:hAnsi="Times New Roman" w:cs="Times New Roman" w:eastAsiaTheme="minorEastAsia"/>
          <w:b/>
          <w:sz w:val="24"/>
          <w:szCs w:val="24"/>
        </w:rPr>
        <w:instrText xml:space="preserve"> PAGEREF _Toc423019081 \h </w:instrText>
      </w:r>
      <w:r>
        <w:rPr>
          <w:rFonts w:ascii="Times New Roman" w:hAnsi="Times New Roman" w:cs="Times New Roman" w:eastAsiaTheme="minorEastAsia"/>
          <w:b/>
          <w:sz w:val="24"/>
          <w:szCs w:val="24"/>
        </w:rPr>
        <w:fldChar w:fldCharType="separate"/>
      </w:r>
      <w:r>
        <w:rPr>
          <w:rFonts w:ascii="Times New Roman" w:hAnsi="Times New Roman" w:cs="Times New Roman" w:eastAsiaTheme="minorEastAsia"/>
          <w:b/>
          <w:sz w:val="24"/>
          <w:szCs w:val="24"/>
        </w:rPr>
        <w:t>1</w:t>
      </w:r>
      <w:r>
        <w:rPr>
          <w:rFonts w:ascii="Times New Roman" w:hAnsi="Times New Roman" w:cs="Times New Roman" w:eastAsiaTheme="minorEastAsia"/>
          <w:b/>
          <w:sz w:val="24"/>
          <w:szCs w:val="24"/>
        </w:rPr>
        <w:fldChar w:fldCharType="end"/>
      </w:r>
      <w:r>
        <w:rPr>
          <w:rFonts w:ascii="Times New Roman" w:hAnsi="Times New Roman" w:cs="Times New Roman" w:eastAsiaTheme="minorEastAsia"/>
          <w:b/>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"_Toc423019083" </w:instrText>
      </w:r>
      <w:r>
        <w:fldChar w:fldCharType="separate"/>
      </w:r>
      <w:r>
        <w:rPr>
          <w:rStyle w:val="25"/>
          <w:rFonts w:ascii="Times New Roman" w:hAnsi="Times New Roman" w:cs="Times New Roman" w:eastAsiaTheme="minorEastAsia"/>
          <w:sz w:val="24"/>
          <w:szCs w:val="24"/>
        </w:rPr>
        <w:t>一、煤炭开发利用面临的形势</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_Toc423019083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1</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"_Toc423019084" </w:instrText>
      </w:r>
      <w:r>
        <w:fldChar w:fldCharType="separate"/>
      </w:r>
      <w:r>
        <w:rPr>
          <w:rStyle w:val="25"/>
          <w:rFonts w:ascii="Times New Roman" w:hAnsi="Times New Roman" w:cs="Times New Roman" w:eastAsiaTheme="minorEastAsia"/>
          <w:sz w:val="24"/>
          <w:szCs w:val="24"/>
        </w:rPr>
        <w:t>（一）煤炭的战略地位与作用</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_Toc423019084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1</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"_Toc423019085" </w:instrText>
      </w:r>
      <w:r>
        <w:fldChar w:fldCharType="separate"/>
      </w:r>
      <w:r>
        <w:rPr>
          <w:rStyle w:val="25"/>
          <w:rFonts w:ascii="Times New Roman" w:hAnsi="Times New Roman" w:cs="Times New Roman" w:eastAsiaTheme="minorEastAsia"/>
          <w:sz w:val="24"/>
          <w:szCs w:val="24"/>
        </w:rPr>
        <w:t>（二）煤炭开发利用面临的挑战</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_Toc423019085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2</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"_Toc423019086" </w:instrText>
      </w:r>
      <w:r>
        <w:fldChar w:fldCharType="separate"/>
      </w:r>
      <w:r>
        <w:rPr>
          <w:rStyle w:val="25"/>
          <w:rFonts w:ascii="Times New Roman" w:hAnsi="Times New Roman" w:cs="Times New Roman" w:eastAsiaTheme="minorEastAsia"/>
          <w:sz w:val="24"/>
          <w:szCs w:val="24"/>
        </w:rPr>
        <w:t>二、开设煤矿开采技术专业的必要性</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_Toc423019086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"_Toc423019087" </w:instrText>
      </w:r>
      <w:r>
        <w:fldChar w:fldCharType="separate"/>
      </w:r>
      <w:r>
        <w:rPr>
          <w:rStyle w:val="25"/>
          <w:rFonts w:ascii="Times New Roman" w:hAnsi="Times New Roman" w:cs="Times New Roman" w:eastAsiaTheme="minorEastAsia"/>
          <w:sz w:val="24"/>
          <w:szCs w:val="24"/>
        </w:rPr>
        <w:t>（一）煤矿安全生产的需要</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_Toc423019087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"_Toc423019088" </w:instrText>
      </w:r>
      <w:r>
        <w:fldChar w:fldCharType="separate"/>
      </w:r>
      <w:r>
        <w:rPr>
          <w:rStyle w:val="25"/>
          <w:rFonts w:ascii="Times New Roman" w:hAnsi="Times New Roman" w:cs="Times New Roman" w:eastAsiaTheme="minorEastAsia"/>
          <w:sz w:val="24"/>
          <w:szCs w:val="24"/>
        </w:rPr>
        <w:t>（二）煤炭行业专业技术人才紧缺</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_Toc423019088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"_Toc423019089" </w:instrText>
      </w:r>
      <w:r>
        <w:fldChar w:fldCharType="separate"/>
      </w:r>
      <w:r>
        <w:rPr>
          <w:rStyle w:val="25"/>
          <w:rFonts w:ascii="Times New Roman" w:hAnsi="Times New Roman" w:cs="Times New Roman" w:eastAsiaTheme="minorEastAsia"/>
          <w:sz w:val="24"/>
          <w:szCs w:val="24"/>
        </w:rPr>
        <w:t>（三）煤炭企业发展的内在需要</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_Toc423019089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7</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"_Toc423019090" </w:instrText>
      </w:r>
      <w:r>
        <w:fldChar w:fldCharType="separate"/>
      </w:r>
      <w:r>
        <w:rPr>
          <w:rStyle w:val="25"/>
          <w:rFonts w:ascii="Times New Roman" w:hAnsi="Times New Roman" w:cs="Times New Roman" w:eastAsiaTheme="minorEastAsia"/>
          <w:sz w:val="24"/>
          <w:szCs w:val="24"/>
        </w:rPr>
        <w:t>三、开办专业的可行性分析</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_Toc423019090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"_Toc423019091" </w:instrText>
      </w:r>
      <w:r>
        <w:fldChar w:fldCharType="separate"/>
      </w:r>
      <w:r>
        <w:rPr>
          <w:rStyle w:val="25"/>
          <w:rFonts w:ascii="Times New Roman" w:hAnsi="Times New Roman" w:cs="Times New Roman" w:eastAsiaTheme="minorEastAsia"/>
          <w:sz w:val="24"/>
          <w:szCs w:val="24"/>
        </w:rPr>
        <w:t>（一）政策分析与生源保障</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_Toc423019091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"_Toc423019092" </w:instrText>
      </w:r>
      <w:r>
        <w:fldChar w:fldCharType="separate"/>
      </w:r>
      <w:r>
        <w:rPr>
          <w:rStyle w:val="25"/>
          <w:rFonts w:ascii="Times New Roman" w:hAnsi="Times New Roman" w:cs="Times New Roman" w:eastAsiaTheme="minorEastAsia"/>
          <w:sz w:val="24"/>
          <w:szCs w:val="24"/>
        </w:rPr>
        <w:t>（二）开办专业的条件与优势</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_Toc423019092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10</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"_Toc423019093" </w:instrText>
      </w:r>
      <w:r>
        <w:fldChar w:fldCharType="separate"/>
      </w:r>
      <w:r>
        <w:rPr>
          <w:rStyle w:val="25"/>
          <w:rFonts w:ascii="Times New Roman" w:hAnsi="Times New Roman" w:cs="Times New Roman" w:eastAsiaTheme="minorEastAsia"/>
          <w:sz w:val="24"/>
          <w:szCs w:val="24"/>
        </w:rPr>
        <w:t>四、可行性分析报告结论</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_Toc423019093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14</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rPr>
          <w:rFonts w:ascii="Times New Roman" w:hAnsi="Times New Roman" w:cs="Times New Roman" w:eastAsiaTheme="minorEastAsia"/>
          <w:sz w:val="24"/>
          <w:szCs w:val="24"/>
        </w:rPr>
      </w:pPr>
      <w:r>
        <w:fldChar w:fldCharType="begin"/>
      </w:r>
      <w:r>
        <w:instrText xml:space="preserve"> HYPERLINK \l "_Toc423019094" </w:instrText>
      </w:r>
      <w:r>
        <w:fldChar w:fldCharType="separate"/>
      </w:r>
      <w:r>
        <w:rPr>
          <w:rStyle w:val="25"/>
          <w:rFonts w:ascii="Times New Roman" w:hAnsi="Times New Roman" w:cs="Times New Roman" w:eastAsiaTheme="minorEastAsia"/>
          <w:b/>
          <w:sz w:val="24"/>
          <w:szCs w:val="24"/>
        </w:rPr>
        <w:t>第二部分国家开放大学专业设置申请表</w:t>
      </w:r>
      <w:r>
        <w:rPr>
          <w:rFonts w:ascii="Times New Roman" w:hAnsi="Times New Roman" w:cs="Times New Roman" w:eastAsiaTheme="minorEastAsia"/>
          <w:sz w:val="24"/>
          <w:szCs w:val="24"/>
        </w:rPr>
        <w:tab/>
      </w:r>
      <w:r>
        <w:rPr>
          <w:rFonts w:ascii="Times New Roman" w:hAnsi="Times New Roman" w:cs="Times New Roman" w:eastAsiaTheme="minorEastAsia"/>
          <w:b/>
          <w:sz w:val="24"/>
          <w:szCs w:val="24"/>
        </w:rPr>
        <w:fldChar w:fldCharType="begin"/>
      </w:r>
      <w:r>
        <w:rPr>
          <w:rFonts w:ascii="Times New Roman" w:hAnsi="Times New Roman" w:cs="Times New Roman" w:eastAsiaTheme="minorEastAsia"/>
          <w:b/>
          <w:sz w:val="24"/>
          <w:szCs w:val="24"/>
        </w:rPr>
        <w:instrText xml:space="preserve"> PAGEREF _Toc423019094 \h </w:instrText>
      </w:r>
      <w:r>
        <w:rPr>
          <w:rFonts w:ascii="Times New Roman" w:hAnsi="Times New Roman" w:cs="Times New Roman" w:eastAsiaTheme="minorEastAsia"/>
          <w:b/>
          <w:sz w:val="24"/>
          <w:szCs w:val="24"/>
        </w:rPr>
        <w:fldChar w:fldCharType="separate"/>
      </w:r>
      <w:r>
        <w:rPr>
          <w:rFonts w:ascii="Times New Roman" w:hAnsi="Times New Roman" w:cs="Times New Roman" w:eastAsiaTheme="minorEastAsia"/>
          <w:b/>
          <w:sz w:val="24"/>
          <w:szCs w:val="24"/>
        </w:rPr>
        <w:t>17</w:t>
      </w:r>
      <w:r>
        <w:rPr>
          <w:rFonts w:ascii="Times New Roman" w:hAnsi="Times New Roman" w:cs="Times New Roman" w:eastAsiaTheme="minorEastAsia"/>
          <w:b/>
          <w:sz w:val="24"/>
          <w:szCs w:val="24"/>
        </w:rPr>
        <w:fldChar w:fldCharType="end"/>
      </w:r>
      <w:r>
        <w:rPr>
          <w:rFonts w:ascii="Times New Roman" w:hAnsi="Times New Roman" w:cs="Times New Roman" w:eastAsiaTheme="minorEastAsia"/>
          <w:b/>
          <w:sz w:val="24"/>
          <w:szCs w:val="24"/>
        </w:rPr>
        <w:fldChar w:fldCharType="end"/>
      </w:r>
    </w:p>
    <w:p>
      <w:pPr>
        <w:pStyle w:val="13"/>
        <w:tabs>
          <w:tab w:val="right" w:leader="dot" w:pos="8296"/>
        </w:tabs>
        <w:spacing w:line="400" w:lineRule="exact"/>
        <w:rPr>
          <w:rFonts w:ascii="Times New Roman" w:hAnsi="Times New Roman" w:cs="Times New Roman" w:eastAsiaTheme="minorEastAsia"/>
          <w:sz w:val="24"/>
          <w:szCs w:val="24"/>
        </w:rPr>
      </w:pPr>
      <w:r>
        <w:fldChar w:fldCharType="begin"/>
      </w:r>
      <w:r>
        <w:instrText xml:space="preserve"> HYPERLINK \l "_Toc423019095" </w:instrText>
      </w:r>
      <w:r>
        <w:fldChar w:fldCharType="separate"/>
      </w:r>
      <w:r>
        <w:rPr>
          <w:rStyle w:val="25"/>
          <w:rFonts w:ascii="Times New Roman" w:hAnsi="Times New Roman" w:cs="Times New Roman" w:eastAsiaTheme="minorEastAsia"/>
          <w:b/>
          <w:sz w:val="24"/>
          <w:szCs w:val="24"/>
        </w:rPr>
        <w:t>第三部分煤矿开采技术专业（专科）专业规则表</w:t>
      </w:r>
      <w:r>
        <w:rPr>
          <w:rFonts w:ascii="Times New Roman" w:hAnsi="Times New Roman" w:cs="Times New Roman" w:eastAsiaTheme="minorEastAsia"/>
          <w:sz w:val="24"/>
          <w:szCs w:val="24"/>
        </w:rPr>
        <w:tab/>
      </w:r>
      <w:r>
        <w:rPr>
          <w:rFonts w:ascii="Times New Roman" w:hAnsi="Times New Roman" w:cs="Times New Roman" w:eastAsiaTheme="minorEastAsia"/>
          <w:b/>
          <w:sz w:val="24"/>
          <w:szCs w:val="24"/>
        </w:rPr>
        <w:fldChar w:fldCharType="begin"/>
      </w:r>
      <w:r>
        <w:rPr>
          <w:rFonts w:ascii="Times New Roman" w:hAnsi="Times New Roman" w:cs="Times New Roman" w:eastAsiaTheme="minorEastAsia"/>
          <w:b/>
          <w:sz w:val="24"/>
          <w:szCs w:val="24"/>
        </w:rPr>
        <w:instrText xml:space="preserve"> PAGEREF _Toc423019095 \h </w:instrText>
      </w:r>
      <w:r>
        <w:rPr>
          <w:rFonts w:ascii="Times New Roman" w:hAnsi="Times New Roman" w:cs="Times New Roman" w:eastAsiaTheme="minorEastAsia"/>
          <w:b/>
          <w:sz w:val="24"/>
          <w:szCs w:val="24"/>
        </w:rPr>
        <w:fldChar w:fldCharType="separate"/>
      </w:r>
      <w:r>
        <w:rPr>
          <w:rFonts w:ascii="Times New Roman" w:hAnsi="Times New Roman" w:cs="Times New Roman" w:eastAsiaTheme="minorEastAsia"/>
          <w:b/>
          <w:sz w:val="24"/>
          <w:szCs w:val="24"/>
        </w:rPr>
        <w:t>19</w:t>
      </w:r>
      <w:r>
        <w:rPr>
          <w:rFonts w:ascii="Times New Roman" w:hAnsi="Times New Roman" w:cs="Times New Roman" w:eastAsiaTheme="minorEastAsia"/>
          <w:b/>
          <w:sz w:val="24"/>
          <w:szCs w:val="24"/>
        </w:rPr>
        <w:fldChar w:fldCharType="end"/>
      </w:r>
      <w:r>
        <w:rPr>
          <w:rFonts w:ascii="Times New Roman" w:hAnsi="Times New Roman" w:cs="Times New Roman" w:eastAsiaTheme="minorEastAsia"/>
          <w:b/>
          <w:sz w:val="24"/>
          <w:szCs w:val="24"/>
        </w:rPr>
        <w:fldChar w:fldCharType="end"/>
      </w:r>
    </w:p>
    <w:p>
      <w:pPr>
        <w:pStyle w:val="13"/>
        <w:tabs>
          <w:tab w:val="right" w:leader="dot" w:pos="8296"/>
        </w:tabs>
        <w:spacing w:line="400" w:lineRule="exact"/>
        <w:rPr>
          <w:rFonts w:ascii="Times New Roman" w:hAnsi="Times New Roman" w:cs="Times New Roman" w:eastAsiaTheme="minorEastAsia"/>
          <w:sz w:val="24"/>
          <w:szCs w:val="24"/>
        </w:rPr>
      </w:pPr>
      <w:r>
        <w:fldChar w:fldCharType="begin"/>
      </w:r>
      <w:r>
        <w:instrText xml:space="preserve"> HYPERLINK \l "_Toc423019096" </w:instrText>
      </w:r>
      <w:r>
        <w:fldChar w:fldCharType="separate"/>
      </w:r>
      <w:r>
        <w:rPr>
          <w:rStyle w:val="25"/>
          <w:rFonts w:ascii="Times New Roman" w:hAnsi="Times New Roman" w:cs="Times New Roman" w:eastAsiaTheme="minorEastAsia"/>
          <w:b/>
          <w:sz w:val="24"/>
          <w:szCs w:val="24"/>
        </w:rPr>
        <w:t>第四部分煤矿开采技术专业（专科）专业规则说明</w:t>
      </w:r>
      <w:r>
        <w:rPr>
          <w:rFonts w:ascii="Times New Roman" w:hAnsi="Times New Roman" w:cs="Times New Roman" w:eastAsiaTheme="minorEastAsia"/>
          <w:sz w:val="24"/>
          <w:szCs w:val="24"/>
        </w:rPr>
        <w:tab/>
      </w:r>
      <w:r>
        <w:rPr>
          <w:rFonts w:ascii="Times New Roman" w:hAnsi="Times New Roman" w:cs="Times New Roman" w:eastAsiaTheme="minorEastAsia"/>
          <w:b/>
          <w:sz w:val="24"/>
          <w:szCs w:val="24"/>
        </w:rPr>
        <w:fldChar w:fldCharType="begin"/>
      </w:r>
      <w:r>
        <w:rPr>
          <w:rFonts w:ascii="Times New Roman" w:hAnsi="Times New Roman" w:cs="Times New Roman" w:eastAsiaTheme="minorEastAsia"/>
          <w:b/>
          <w:sz w:val="24"/>
          <w:szCs w:val="24"/>
        </w:rPr>
        <w:instrText xml:space="preserve"> PAGEREF _Toc423019096 \h </w:instrText>
      </w:r>
      <w:r>
        <w:rPr>
          <w:rFonts w:ascii="Times New Roman" w:hAnsi="Times New Roman" w:cs="Times New Roman" w:eastAsiaTheme="minorEastAsia"/>
          <w:b/>
          <w:sz w:val="24"/>
          <w:szCs w:val="24"/>
        </w:rPr>
        <w:fldChar w:fldCharType="separate"/>
      </w:r>
      <w:r>
        <w:rPr>
          <w:rFonts w:ascii="Times New Roman" w:hAnsi="Times New Roman" w:cs="Times New Roman" w:eastAsiaTheme="minorEastAsia"/>
          <w:b/>
          <w:sz w:val="24"/>
          <w:szCs w:val="24"/>
        </w:rPr>
        <w:t>21</w:t>
      </w:r>
      <w:r>
        <w:rPr>
          <w:rFonts w:ascii="Times New Roman" w:hAnsi="Times New Roman" w:cs="Times New Roman" w:eastAsiaTheme="minorEastAsia"/>
          <w:b/>
          <w:sz w:val="24"/>
          <w:szCs w:val="24"/>
        </w:rPr>
        <w:fldChar w:fldCharType="end"/>
      </w:r>
      <w:r>
        <w:rPr>
          <w:rFonts w:ascii="Times New Roman" w:hAnsi="Times New Roman" w:cs="Times New Roman" w:eastAsiaTheme="minorEastAsia"/>
          <w:b/>
          <w:sz w:val="24"/>
          <w:szCs w:val="24"/>
        </w:rPr>
        <w:fldChar w:fldCharType="end"/>
      </w:r>
    </w:p>
    <w:p>
      <w:pPr>
        <w:pStyle w:val="13"/>
        <w:tabs>
          <w:tab w:val="right" w:leader="dot" w:pos="8296"/>
        </w:tabs>
        <w:spacing w:line="400" w:lineRule="exact"/>
        <w:rPr>
          <w:rFonts w:ascii="Times New Roman" w:hAnsi="Times New Roman" w:cs="Times New Roman" w:eastAsiaTheme="minorEastAsia"/>
          <w:sz w:val="24"/>
          <w:szCs w:val="24"/>
        </w:rPr>
      </w:pPr>
      <w:r>
        <w:fldChar w:fldCharType="begin"/>
      </w:r>
      <w:r>
        <w:instrText xml:space="preserve"> HYPERLINK \l "_Toc423019097" </w:instrText>
      </w:r>
      <w:r>
        <w:fldChar w:fldCharType="separate"/>
      </w:r>
      <w:r>
        <w:rPr>
          <w:rStyle w:val="25"/>
          <w:rFonts w:ascii="Times New Roman" w:hAnsi="Times New Roman" w:cs="Times New Roman" w:eastAsiaTheme="minorEastAsia"/>
          <w:b/>
          <w:sz w:val="24"/>
          <w:szCs w:val="24"/>
        </w:rPr>
        <w:t>第五部分煤矿开采技术专业（专科）课程说明</w:t>
      </w:r>
      <w:r>
        <w:rPr>
          <w:rFonts w:ascii="Times New Roman" w:hAnsi="Times New Roman" w:cs="Times New Roman" w:eastAsiaTheme="minorEastAsia"/>
          <w:sz w:val="24"/>
          <w:szCs w:val="24"/>
        </w:rPr>
        <w:tab/>
      </w:r>
      <w:r>
        <w:rPr>
          <w:rFonts w:ascii="Times New Roman" w:hAnsi="Times New Roman" w:cs="Times New Roman" w:eastAsiaTheme="minorEastAsia"/>
          <w:b/>
          <w:sz w:val="24"/>
          <w:szCs w:val="24"/>
        </w:rPr>
        <w:fldChar w:fldCharType="begin"/>
      </w:r>
      <w:r>
        <w:rPr>
          <w:rFonts w:ascii="Times New Roman" w:hAnsi="Times New Roman" w:cs="Times New Roman" w:eastAsiaTheme="minorEastAsia"/>
          <w:b/>
          <w:sz w:val="24"/>
          <w:szCs w:val="24"/>
        </w:rPr>
        <w:instrText xml:space="preserve"> PAGEREF _Toc423019097 \h </w:instrText>
      </w:r>
      <w:r>
        <w:rPr>
          <w:rFonts w:ascii="Times New Roman" w:hAnsi="Times New Roman" w:cs="Times New Roman" w:eastAsiaTheme="minorEastAsia"/>
          <w:b/>
          <w:sz w:val="24"/>
          <w:szCs w:val="24"/>
        </w:rPr>
        <w:fldChar w:fldCharType="separate"/>
      </w:r>
      <w:r>
        <w:rPr>
          <w:rFonts w:ascii="Times New Roman" w:hAnsi="Times New Roman" w:cs="Times New Roman" w:eastAsiaTheme="minorEastAsia"/>
          <w:b/>
          <w:sz w:val="24"/>
          <w:szCs w:val="24"/>
        </w:rPr>
        <w:t>24</w:t>
      </w:r>
      <w:r>
        <w:rPr>
          <w:rFonts w:ascii="Times New Roman" w:hAnsi="Times New Roman" w:cs="Times New Roman" w:eastAsiaTheme="minorEastAsia"/>
          <w:b/>
          <w:sz w:val="24"/>
          <w:szCs w:val="24"/>
        </w:rPr>
        <w:fldChar w:fldCharType="end"/>
      </w:r>
      <w:r>
        <w:rPr>
          <w:rFonts w:ascii="Times New Roman" w:hAnsi="Times New Roman" w:cs="Times New Roman" w:eastAsiaTheme="minorEastAsia"/>
          <w:b/>
          <w:sz w:val="24"/>
          <w:szCs w:val="24"/>
        </w:rPr>
        <w:fldChar w:fldCharType="end"/>
      </w:r>
    </w:p>
    <w:p>
      <w:pPr>
        <w:pStyle w:val="13"/>
        <w:tabs>
          <w:tab w:val="right" w:leader="dot" w:pos="8296"/>
        </w:tabs>
        <w:spacing w:line="400" w:lineRule="exact"/>
        <w:rPr>
          <w:rFonts w:ascii="Times New Roman" w:hAnsi="Times New Roman" w:cs="Times New Roman" w:eastAsiaTheme="minorEastAsia"/>
          <w:sz w:val="24"/>
          <w:szCs w:val="24"/>
        </w:rPr>
      </w:pPr>
      <w:r>
        <w:fldChar w:fldCharType="begin"/>
      </w:r>
      <w:r>
        <w:instrText xml:space="preserve"> HYPERLINK \l "_Toc423019098" </w:instrText>
      </w:r>
      <w:r>
        <w:fldChar w:fldCharType="separate"/>
      </w:r>
      <w:r>
        <w:rPr>
          <w:rStyle w:val="25"/>
          <w:rFonts w:ascii="Times New Roman" w:hAnsi="Times New Roman" w:cs="Times New Roman" w:eastAsiaTheme="minorEastAsia"/>
          <w:b/>
          <w:sz w:val="24"/>
          <w:szCs w:val="24"/>
        </w:rPr>
        <w:t>第六部分煤矿开采技术专业（专科）教学实施方案</w:t>
      </w:r>
      <w:r>
        <w:rPr>
          <w:rFonts w:ascii="Times New Roman" w:hAnsi="Times New Roman" w:cs="Times New Roman" w:eastAsiaTheme="minorEastAsia"/>
          <w:sz w:val="24"/>
          <w:szCs w:val="24"/>
        </w:rPr>
        <w:tab/>
      </w:r>
      <w:r>
        <w:rPr>
          <w:rFonts w:ascii="Times New Roman" w:hAnsi="Times New Roman" w:cs="Times New Roman" w:eastAsiaTheme="minorEastAsia"/>
          <w:b/>
          <w:sz w:val="24"/>
          <w:szCs w:val="24"/>
        </w:rPr>
        <w:fldChar w:fldCharType="begin"/>
      </w:r>
      <w:r>
        <w:rPr>
          <w:rFonts w:ascii="Times New Roman" w:hAnsi="Times New Roman" w:cs="Times New Roman" w:eastAsiaTheme="minorEastAsia"/>
          <w:b/>
          <w:sz w:val="24"/>
          <w:szCs w:val="24"/>
        </w:rPr>
        <w:instrText xml:space="preserve"> PAGEREF _Toc423019098 \h </w:instrText>
      </w:r>
      <w:r>
        <w:rPr>
          <w:rFonts w:ascii="Times New Roman" w:hAnsi="Times New Roman" w:cs="Times New Roman" w:eastAsiaTheme="minorEastAsia"/>
          <w:b/>
          <w:sz w:val="24"/>
          <w:szCs w:val="24"/>
        </w:rPr>
        <w:fldChar w:fldCharType="separate"/>
      </w:r>
      <w:r>
        <w:rPr>
          <w:rFonts w:ascii="Times New Roman" w:hAnsi="Times New Roman" w:cs="Times New Roman" w:eastAsiaTheme="minorEastAsia"/>
          <w:b/>
          <w:sz w:val="24"/>
          <w:szCs w:val="24"/>
        </w:rPr>
        <w:t>31</w:t>
      </w:r>
      <w:r>
        <w:rPr>
          <w:rFonts w:ascii="Times New Roman" w:hAnsi="Times New Roman" w:cs="Times New Roman" w:eastAsiaTheme="minorEastAsia"/>
          <w:b/>
          <w:sz w:val="24"/>
          <w:szCs w:val="24"/>
        </w:rPr>
        <w:fldChar w:fldCharType="end"/>
      </w:r>
      <w:r>
        <w:rPr>
          <w:rFonts w:ascii="Times New Roman" w:hAnsi="Times New Roman" w:cs="Times New Roman" w:eastAsiaTheme="minorEastAsia"/>
          <w:b/>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"_Toc423019099" </w:instrText>
      </w:r>
      <w:r>
        <w:fldChar w:fldCharType="separate"/>
      </w:r>
      <w:r>
        <w:rPr>
          <w:rStyle w:val="25"/>
          <w:rFonts w:ascii="Times New Roman" w:hAnsi="Times New Roman" w:cs="Times New Roman" w:eastAsiaTheme="minorEastAsia"/>
          <w:sz w:val="24"/>
          <w:szCs w:val="24"/>
        </w:rPr>
        <w:t>一、专业建设</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_Toc423019099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31</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"_Toc423019100" </w:instrText>
      </w:r>
      <w:r>
        <w:fldChar w:fldCharType="separate"/>
      </w:r>
      <w:r>
        <w:rPr>
          <w:rStyle w:val="25"/>
          <w:rFonts w:ascii="Times New Roman" w:hAnsi="Times New Roman" w:cs="Times New Roman" w:eastAsiaTheme="minorEastAsia"/>
          <w:sz w:val="24"/>
          <w:szCs w:val="24"/>
        </w:rPr>
        <w:t>（一）生源目标</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_Toc423019100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31</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"_Toc423019101" </w:instrText>
      </w:r>
      <w:r>
        <w:fldChar w:fldCharType="separate"/>
      </w:r>
      <w:r>
        <w:rPr>
          <w:rStyle w:val="25"/>
          <w:rFonts w:ascii="Times New Roman" w:hAnsi="Times New Roman" w:cs="Times New Roman" w:eastAsiaTheme="minorEastAsia"/>
          <w:sz w:val="24"/>
          <w:szCs w:val="24"/>
        </w:rPr>
        <w:t>（二）课程建设特点</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_Toc423019101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31</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"_Toc423019102" </w:instrText>
      </w:r>
      <w:r>
        <w:fldChar w:fldCharType="separate"/>
      </w:r>
      <w:r>
        <w:rPr>
          <w:rStyle w:val="25"/>
          <w:rFonts w:ascii="Times New Roman" w:hAnsi="Times New Roman" w:cs="Times New Roman" w:eastAsiaTheme="minorEastAsia"/>
          <w:sz w:val="24"/>
          <w:szCs w:val="24"/>
        </w:rPr>
        <w:t>（三）能力、知识结构及其支撑课程</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_Toc423019102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32</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"_Toc423019103" </w:instrText>
      </w:r>
      <w:r>
        <w:fldChar w:fldCharType="separate"/>
      </w:r>
      <w:r>
        <w:rPr>
          <w:rStyle w:val="25"/>
          <w:rFonts w:ascii="Times New Roman" w:hAnsi="Times New Roman" w:cs="Times New Roman" w:eastAsiaTheme="minorEastAsia"/>
          <w:sz w:val="24"/>
          <w:szCs w:val="24"/>
        </w:rPr>
        <w:t>二、专业教学准备</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_Toc423019103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33</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"_Toc423019104" </w:instrText>
      </w:r>
      <w:r>
        <w:fldChar w:fldCharType="separate"/>
      </w:r>
      <w:r>
        <w:rPr>
          <w:rStyle w:val="25"/>
          <w:rFonts w:ascii="Times New Roman" w:hAnsi="Times New Roman" w:cs="Times New Roman" w:eastAsiaTheme="minorEastAsia"/>
          <w:sz w:val="24"/>
          <w:szCs w:val="24"/>
        </w:rPr>
        <w:t>（一）条件准备</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_Toc423019104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33</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"_Toc423019105" </w:instrText>
      </w:r>
      <w:r>
        <w:fldChar w:fldCharType="separate"/>
      </w:r>
      <w:r>
        <w:rPr>
          <w:rStyle w:val="25"/>
          <w:rFonts w:ascii="Times New Roman" w:hAnsi="Times New Roman" w:cs="Times New Roman" w:eastAsiaTheme="minorEastAsia"/>
          <w:sz w:val="24"/>
          <w:szCs w:val="24"/>
        </w:rPr>
        <w:t>（二）教学方案筹备</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_Toc423019105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35</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"_Toc423019106" </w:instrText>
      </w:r>
      <w:r>
        <w:fldChar w:fldCharType="separate"/>
      </w:r>
      <w:r>
        <w:rPr>
          <w:rStyle w:val="25"/>
          <w:rFonts w:ascii="Times New Roman" w:hAnsi="Times New Roman" w:cs="Times New Roman" w:eastAsiaTheme="minorEastAsia"/>
          <w:sz w:val="24"/>
          <w:szCs w:val="24"/>
        </w:rPr>
        <w:t>（三）教学资源准备</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_Toc423019106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37</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"_Toc423019107" </w:instrText>
      </w:r>
      <w:r>
        <w:fldChar w:fldCharType="separate"/>
      </w:r>
      <w:r>
        <w:rPr>
          <w:rStyle w:val="25"/>
          <w:rFonts w:ascii="Times New Roman" w:hAnsi="Times New Roman" w:cs="Times New Roman" w:eastAsiaTheme="minorEastAsia"/>
          <w:sz w:val="24"/>
          <w:szCs w:val="24"/>
        </w:rPr>
        <w:t>（四）师资培训</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_Toc423019107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37</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"_Toc423019108" </w:instrText>
      </w:r>
      <w:r>
        <w:fldChar w:fldCharType="separate"/>
      </w:r>
      <w:r>
        <w:rPr>
          <w:rStyle w:val="25"/>
          <w:rFonts w:ascii="Times New Roman" w:hAnsi="Times New Roman" w:cs="Times New Roman" w:eastAsiaTheme="minorEastAsia"/>
          <w:sz w:val="24"/>
          <w:szCs w:val="24"/>
        </w:rPr>
        <w:t>三、教学环节与要求</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_Toc423019108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"_Toc423019109" </w:instrText>
      </w:r>
      <w:r>
        <w:fldChar w:fldCharType="separate"/>
      </w:r>
      <w:r>
        <w:rPr>
          <w:rStyle w:val="25"/>
          <w:rFonts w:ascii="Times New Roman" w:hAnsi="Times New Roman" w:cs="Times New Roman" w:eastAsiaTheme="minorEastAsia"/>
          <w:sz w:val="24"/>
          <w:szCs w:val="24"/>
        </w:rPr>
        <w:t>（一）入学教育</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_Toc423019109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"_Toc423019110" </w:instrText>
      </w:r>
      <w:r>
        <w:fldChar w:fldCharType="separate"/>
      </w:r>
      <w:r>
        <w:rPr>
          <w:rStyle w:val="25"/>
          <w:rFonts w:ascii="Times New Roman" w:hAnsi="Times New Roman" w:cs="Times New Roman" w:eastAsiaTheme="minorEastAsia"/>
          <w:sz w:val="24"/>
          <w:szCs w:val="24"/>
        </w:rPr>
        <w:t>（二）制定学习计划</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_Toc423019110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"_Toc423019111" </w:instrText>
      </w:r>
      <w:r>
        <w:fldChar w:fldCharType="separate"/>
      </w:r>
      <w:r>
        <w:rPr>
          <w:rStyle w:val="25"/>
          <w:rFonts w:ascii="Times New Roman" w:hAnsi="Times New Roman" w:cs="Times New Roman" w:eastAsiaTheme="minorEastAsia"/>
          <w:sz w:val="24"/>
          <w:szCs w:val="24"/>
        </w:rPr>
        <w:t>（三）远程教学</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_Toc423019111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"_Toc423019112" </w:instrText>
      </w:r>
      <w:r>
        <w:fldChar w:fldCharType="separate"/>
      </w:r>
      <w:r>
        <w:rPr>
          <w:rStyle w:val="25"/>
          <w:rFonts w:ascii="Times New Roman" w:hAnsi="Times New Roman" w:cs="Times New Roman" w:eastAsiaTheme="minorEastAsia"/>
          <w:sz w:val="24"/>
          <w:szCs w:val="24"/>
        </w:rPr>
        <w:t>（四）面授辅导</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_Toc423019112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39</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"_Toc423019113" </w:instrText>
      </w:r>
      <w:r>
        <w:fldChar w:fldCharType="separate"/>
      </w:r>
      <w:r>
        <w:rPr>
          <w:rStyle w:val="25"/>
          <w:rFonts w:ascii="Times New Roman" w:hAnsi="Times New Roman" w:cs="Times New Roman" w:eastAsiaTheme="minorEastAsia"/>
          <w:sz w:val="24"/>
          <w:szCs w:val="24"/>
        </w:rPr>
        <w:t>（五）实验/实训</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_Toc423019113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39</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"_Toc423019114" </w:instrText>
      </w:r>
      <w:r>
        <w:fldChar w:fldCharType="separate"/>
      </w:r>
      <w:r>
        <w:rPr>
          <w:rStyle w:val="25"/>
          <w:rFonts w:ascii="Times New Roman" w:hAnsi="Times New Roman" w:cs="Times New Roman" w:eastAsiaTheme="minorEastAsia"/>
          <w:sz w:val="24"/>
          <w:szCs w:val="24"/>
        </w:rPr>
        <w:t>（六）作业与考核</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_Toc423019114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40</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"_Toc423019115" </w:instrText>
      </w:r>
      <w:r>
        <w:fldChar w:fldCharType="separate"/>
      </w:r>
      <w:r>
        <w:rPr>
          <w:rStyle w:val="25"/>
          <w:rFonts w:ascii="Times New Roman" w:hAnsi="Times New Roman" w:cs="Times New Roman" w:eastAsiaTheme="minorEastAsia"/>
          <w:sz w:val="24"/>
          <w:szCs w:val="24"/>
        </w:rPr>
        <w:t>四、教学评价与检查</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_Toc423019115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42</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"_Toc423019116" </w:instrText>
      </w:r>
      <w:r>
        <w:fldChar w:fldCharType="separate"/>
      </w:r>
      <w:r>
        <w:rPr>
          <w:rStyle w:val="25"/>
          <w:rFonts w:ascii="Times New Roman" w:hAnsi="Times New Roman" w:cs="Times New Roman" w:eastAsiaTheme="minorEastAsia"/>
          <w:sz w:val="24"/>
          <w:szCs w:val="24"/>
        </w:rPr>
        <w:t>五、关于毕业证书</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_Toc423019116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43</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"_Toc423019117" </w:instrText>
      </w:r>
      <w:r>
        <w:fldChar w:fldCharType="separate"/>
      </w:r>
      <w:r>
        <w:rPr>
          <w:rStyle w:val="25"/>
          <w:rFonts w:ascii="Times New Roman" w:hAnsi="Times New Roman" w:cs="Times New Roman" w:eastAsiaTheme="minorEastAsia"/>
          <w:sz w:val="24"/>
          <w:szCs w:val="24"/>
        </w:rPr>
        <w:t>六、学习成果认证、积累与转换</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_Toc423019117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44</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"_Toc423019118" </w:instrText>
      </w:r>
      <w:r>
        <w:fldChar w:fldCharType="separate"/>
      </w:r>
      <w:r>
        <w:rPr>
          <w:rStyle w:val="25"/>
          <w:rFonts w:ascii="Times New Roman" w:hAnsi="Times New Roman" w:cs="Times New Roman" w:eastAsiaTheme="minorEastAsia"/>
          <w:sz w:val="24"/>
          <w:szCs w:val="24"/>
        </w:rPr>
        <w:t>（一）关于职业资格证书</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_Toc423019118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44</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"_Toc423019119" </w:instrText>
      </w:r>
      <w:r>
        <w:fldChar w:fldCharType="separate"/>
      </w:r>
      <w:r>
        <w:rPr>
          <w:rStyle w:val="25"/>
          <w:rFonts w:ascii="Times New Roman" w:hAnsi="Times New Roman" w:cs="Times New Roman" w:eastAsiaTheme="minorEastAsia"/>
          <w:sz w:val="24"/>
          <w:szCs w:val="24"/>
        </w:rPr>
        <w:t>（二）已获得证书的学习者</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_Toc423019119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46</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210" w:firstLineChars="100"/>
        <w:rPr>
          <w:rFonts w:ascii="Times New Roman" w:hAnsi="Times New Roman" w:cs="Times New Roman" w:eastAsiaTheme="minorEastAsia"/>
          <w:sz w:val="24"/>
          <w:szCs w:val="24"/>
        </w:rPr>
      </w:pPr>
      <w:r>
        <w:fldChar w:fldCharType="begin"/>
      </w:r>
      <w:r>
        <w:instrText xml:space="preserve"> HYPERLINK \l "_Toc423019120" </w:instrText>
      </w:r>
      <w:r>
        <w:fldChar w:fldCharType="separate"/>
      </w:r>
      <w:r>
        <w:rPr>
          <w:rStyle w:val="25"/>
          <w:rFonts w:ascii="Times New Roman" w:hAnsi="Times New Roman" w:cs="Times New Roman" w:eastAsiaTheme="minorEastAsia"/>
          <w:sz w:val="24"/>
          <w:szCs w:val="24"/>
        </w:rPr>
        <w:t>（三）参加双证融通课程培训的学习者</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_Toc423019120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46</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rPr>
          <w:rFonts w:ascii="Times New Roman" w:hAnsi="Times New Roman" w:cs="Times New Roman" w:eastAsiaTheme="minorEastAsia"/>
          <w:sz w:val="24"/>
          <w:szCs w:val="24"/>
        </w:rPr>
      </w:pPr>
      <w:r>
        <w:fldChar w:fldCharType="begin"/>
      </w:r>
      <w:r>
        <w:instrText xml:space="preserve"> HYPERLINK \l "_Toc423019121" </w:instrText>
      </w:r>
      <w:r>
        <w:fldChar w:fldCharType="separate"/>
      </w:r>
      <w:r>
        <w:rPr>
          <w:rStyle w:val="25"/>
          <w:rFonts w:ascii="Times New Roman" w:hAnsi="Times New Roman" w:cs="Times New Roman" w:eastAsiaTheme="minorEastAsia"/>
          <w:b/>
          <w:sz w:val="24"/>
          <w:szCs w:val="24"/>
        </w:rPr>
        <w:t>第七部分煤矿开采技术专业（专科）建设方案</w:t>
      </w:r>
      <w:r>
        <w:rPr>
          <w:rFonts w:ascii="Times New Roman" w:hAnsi="Times New Roman" w:cs="Times New Roman" w:eastAsiaTheme="minorEastAsia"/>
          <w:sz w:val="24"/>
          <w:szCs w:val="24"/>
        </w:rPr>
        <w:tab/>
      </w:r>
      <w:r>
        <w:rPr>
          <w:rFonts w:ascii="Times New Roman" w:hAnsi="Times New Roman" w:cs="Times New Roman" w:eastAsiaTheme="minorEastAsia"/>
          <w:b/>
          <w:sz w:val="24"/>
          <w:szCs w:val="24"/>
        </w:rPr>
        <w:fldChar w:fldCharType="begin"/>
      </w:r>
      <w:r>
        <w:rPr>
          <w:rFonts w:ascii="Times New Roman" w:hAnsi="Times New Roman" w:cs="Times New Roman" w:eastAsiaTheme="minorEastAsia"/>
          <w:b/>
          <w:sz w:val="24"/>
          <w:szCs w:val="24"/>
        </w:rPr>
        <w:instrText xml:space="preserve"> PAGEREF _Toc423019121 \h </w:instrText>
      </w:r>
      <w:r>
        <w:rPr>
          <w:rFonts w:ascii="Times New Roman" w:hAnsi="Times New Roman" w:cs="Times New Roman" w:eastAsiaTheme="minorEastAsia"/>
          <w:b/>
          <w:sz w:val="24"/>
          <w:szCs w:val="24"/>
        </w:rPr>
        <w:fldChar w:fldCharType="separate"/>
      </w:r>
      <w:r>
        <w:rPr>
          <w:rFonts w:ascii="Times New Roman" w:hAnsi="Times New Roman" w:cs="Times New Roman" w:eastAsiaTheme="minorEastAsia"/>
          <w:b/>
          <w:sz w:val="24"/>
          <w:szCs w:val="24"/>
        </w:rPr>
        <w:t>48</w:t>
      </w:r>
      <w:r>
        <w:rPr>
          <w:rFonts w:ascii="Times New Roman" w:hAnsi="Times New Roman" w:cs="Times New Roman" w:eastAsiaTheme="minorEastAsia"/>
          <w:b/>
          <w:sz w:val="24"/>
          <w:szCs w:val="24"/>
        </w:rPr>
        <w:fldChar w:fldCharType="end"/>
      </w:r>
      <w:r>
        <w:rPr>
          <w:rFonts w:ascii="Times New Roman" w:hAnsi="Times New Roman" w:cs="Times New Roman" w:eastAsiaTheme="minorEastAsia"/>
          <w:b/>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"_Toc423019122" </w:instrText>
      </w:r>
      <w:r>
        <w:fldChar w:fldCharType="separate"/>
      </w:r>
      <w:r>
        <w:rPr>
          <w:rStyle w:val="25"/>
          <w:rFonts w:ascii="Times New Roman" w:hAnsi="Times New Roman" w:cs="Times New Roman" w:eastAsiaTheme="minorEastAsia"/>
          <w:sz w:val="24"/>
          <w:szCs w:val="24"/>
        </w:rPr>
        <w:t>一、指导思想</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_Toc423019122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"_Toc423019123" </w:instrText>
      </w:r>
      <w:r>
        <w:fldChar w:fldCharType="separate"/>
      </w:r>
      <w:r>
        <w:rPr>
          <w:rStyle w:val="25"/>
          <w:rFonts w:ascii="Times New Roman" w:hAnsi="Times New Roman" w:cs="Times New Roman" w:eastAsiaTheme="minorEastAsia"/>
          <w:sz w:val="24"/>
          <w:szCs w:val="24"/>
        </w:rPr>
        <w:t>二、建设目标</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_Toc423019123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"_Toc423019124" </w:instrText>
      </w:r>
      <w:r>
        <w:fldChar w:fldCharType="separate"/>
      </w:r>
      <w:r>
        <w:rPr>
          <w:rStyle w:val="25"/>
          <w:rFonts w:ascii="Times New Roman" w:hAnsi="Times New Roman" w:cs="Times New Roman" w:eastAsiaTheme="minorEastAsia"/>
          <w:sz w:val="24"/>
          <w:szCs w:val="24"/>
        </w:rPr>
        <w:t>三、建设基础</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_Toc423019124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48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"_Toc423019125" </w:instrText>
      </w:r>
      <w:r>
        <w:fldChar w:fldCharType="separate"/>
      </w:r>
      <w:r>
        <w:rPr>
          <w:rStyle w:val="25"/>
          <w:rFonts w:ascii="Times New Roman" w:hAnsi="Times New Roman" w:cs="Times New Roman" w:eastAsiaTheme="minorEastAsia"/>
          <w:sz w:val="24"/>
          <w:szCs w:val="24"/>
        </w:rPr>
        <w:t>四、建设模式</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_Toc423019125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53</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"_Toc423019126" </w:instrText>
      </w:r>
      <w:r>
        <w:fldChar w:fldCharType="separate"/>
      </w:r>
      <w:r>
        <w:rPr>
          <w:rStyle w:val="25"/>
          <w:rFonts w:ascii="Times New Roman" w:hAnsi="Times New Roman" w:cs="Times New Roman" w:eastAsiaTheme="minorEastAsia"/>
          <w:sz w:val="24"/>
          <w:szCs w:val="24"/>
        </w:rPr>
        <w:t>五、建设内容与进度计划</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_Toc423019126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53</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"_Toc423019127" </w:instrText>
      </w:r>
      <w:r>
        <w:fldChar w:fldCharType="separate"/>
      </w:r>
      <w:r>
        <w:rPr>
          <w:rStyle w:val="25"/>
          <w:rFonts w:ascii="Times New Roman" w:hAnsi="Times New Roman" w:cs="Times New Roman" w:eastAsiaTheme="minorEastAsia"/>
          <w:sz w:val="24"/>
          <w:szCs w:val="24"/>
        </w:rPr>
        <w:t>（一）教学资源建设</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_Toc423019127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53</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"_Toc423019128" </w:instrText>
      </w:r>
      <w:r>
        <w:fldChar w:fldCharType="separate"/>
      </w:r>
      <w:r>
        <w:rPr>
          <w:rStyle w:val="25"/>
          <w:rFonts w:ascii="Times New Roman" w:hAnsi="Times New Roman" w:cs="Times New Roman" w:eastAsiaTheme="minorEastAsia"/>
          <w:sz w:val="24"/>
          <w:szCs w:val="24"/>
        </w:rPr>
        <w:t>（二）师资队伍建设</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_Toc423019128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56</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"_Toc423019129" </w:instrText>
      </w:r>
      <w:r>
        <w:fldChar w:fldCharType="separate"/>
      </w:r>
      <w:r>
        <w:rPr>
          <w:rStyle w:val="25"/>
          <w:rFonts w:ascii="Times New Roman" w:hAnsi="Times New Roman" w:cs="Times New Roman" w:eastAsiaTheme="minorEastAsia"/>
          <w:sz w:val="24"/>
          <w:szCs w:val="24"/>
        </w:rPr>
        <w:t>（三）实施教学改革创新</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_Toc423019129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58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"_Toc423019130" </w:instrText>
      </w:r>
      <w:r>
        <w:fldChar w:fldCharType="separate"/>
      </w:r>
      <w:r>
        <w:rPr>
          <w:rStyle w:val="25"/>
          <w:rFonts w:ascii="Times New Roman" w:hAnsi="Times New Roman" w:cs="Times New Roman" w:eastAsiaTheme="minorEastAsia"/>
          <w:sz w:val="24"/>
          <w:szCs w:val="24"/>
        </w:rPr>
        <w:t>（四）学习中心（点）及实训基地建设</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_Toc423019130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58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"_Toc423019131" </w:instrText>
      </w:r>
      <w:r>
        <w:fldChar w:fldCharType="separate"/>
      </w:r>
      <w:r>
        <w:rPr>
          <w:rStyle w:val="25"/>
          <w:rFonts w:ascii="Times New Roman" w:hAnsi="Times New Roman" w:cs="Times New Roman" w:eastAsiaTheme="minorEastAsia"/>
          <w:sz w:val="24"/>
          <w:szCs w:val="24"/>
        </w:rPr>
        <w:t>六、保障措施</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_Toc423019131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59</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"_Toc423019132" </w:instrText>
      </w:r>
      <w:r>
        <w:fldChar w:fldCharType="separate"/>
      </w:r>
      <w:r>
        <w:rPr>
          <w:rStyle w:val="25"/>
          <w:rFonts w:ascii="Times New Roman" w:hAnsi="Times New Roman" w:cs="Times New Roman" w:eastAsiaTheme="minorEastAsia"/>
          <w:sz w:val="24"/>
          <w:szCs w:val="24"/>
        </w:rPr>
        <w:t>（一）加强组织领导</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_Toc423019132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59</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"_Toc423019133" </w:instrText>
      </w:r>
      <w:r>
        <w:fldChar w:fldCharType="separate"/>
      </w:r>
      <w:r>
        <w:rPr>
          <w:rStyle w:val="25"/>
          <w:rFonts w:ascii="Times New Roman" w:hAnsi="Times New Roman" w:cs="Times New Roman" w:eastAsiaTheme="minorEastAsia"/>
          <w:sz w:val="24"/>
          <w:szCs w:val="24"/>
        </w:rPr>
        <w:t>（二）强化项目管理</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_Toc423019133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59</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"_Toc423019134" </w:instrText>
      </w:r>
      <w:r>
        <w:fldChar w:fldCharType="separate"/>
      </w:r>
      <w:r>
        <w:rPr>
          <w:rStyle w:val="25"/>
          <w:rFonts w:ascii="Times New Roman" w:hAnsi="Times New Roman" w:cs="Times New Roman" w:eastAsiaTheme="minorEastAsia"/>
          <w:sz w:val="24"/>
          <w:szCs w:val="24"/>
        </w:rPr>
        <w:t>（三）同步课题立项</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_Toc423019134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59</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7"/>
        <w:tabs>
          <w:tab w:val="right" w:leader="dot" w:pos="8296"/>
        </w:tabs>
        <w:spacing w:line="400" w:lineRule="exact"/>
        <w:ind w:left="0" w:leftChars="0"/>
        <w:rPr>
          <w:rFonts w:ascii="Times New Roman" w:hAnsi="Times New Roman" w:cs="Times New Roman" w:eastAsiaTheme="minorEastAsia"/>
          <w:sz w:val="24"/>
          <w:szCs w:val="24"/>
        </w:rPr>
      </w:pPr>
      <w:r>
        <w:fldChar w:fldCharType="begin"/>
      </w:r>
      <w:r>
        <w:instrText xml:space="preserve"> HYPERLINK \l "_Toc423019135" </w:instrText>
      </w:r>
      <w:r>
        <w:fldChar w:fldCharType="separate"/>
      </w:r>
      <w:r>
        <w:rPr>
          <w:rStyle w:val="25"/>
          <w:rFonts w:cs="Times New Roman" w:asciiTheme="minorEastAsia" w:hAnsiTheme="minorEastAsia" w:eastAsiaTheme="minorEastAsia"/>
          <w:b/>
          <w:spacing w:val="-14"/>
          <w:sz w:val="24"/>
          <w:szCs w:val="24"/>
        </w:rPr>
        <w:t>第八部分  煤矿开采技术专业（专科）统设必修课程建设细目表</w:t>
      </w:r>
      <w:r>
        <w:rPr>
          <w:rFonts w:ascii="Times New Roman" w:hAnsi="Times New Roman" w:cs="Times New Roman" w:eastAsiaTheme="minorEastAsia"/>
          <w:sz w:val="24"/>
          <w:szCs w:val="24"/>
        </w:rPr>
        <w:tab/>
      </w:r>
      <w:r>
        <w:rPr>
          <w:rFonts w:ascii="Times New Roman" w:hAnsi="Times New Roman" w:cs="Times New Roman" w:eastAsiaTheme="minorEastAsia"/>
          <w:b/>
          <w:sz w:val="24"/>
          <w:szCs w:val="24"/>
        </w:rPr>
        <w:fldChar w:fldCharType="begin"/>
      </w:r>
      <w:r>
        <w:rPr>
          <w:rFonts w:ascii="Times New Roman" w:hAnsi="Times New Roman" w:cs="Times New Roman" w:eastAsiaTheme="minorEastAsia"/>
          <w:b/>
          <w:sz w:val="24"/>
          <w:szCs w:val="24"/>
        </w:rPr>
        <w:instrText xml:space="preserve"> PAGEREF _Toc423019135 \h </w:instrText>
      </w:r>
      <w:r>
        <w:rPr>
          <w:rFonts w:ascii="Times New Roman" w:hAnsi="Times New Roman" w:cs="Times New Roman" w:eastAsiaTheme="minorEastAsia"/>
          <w:b/>
          <w:sz w:val="24"/>
          <w:szCs w:val="24"/>
        </w:rPr>
        <w:fldChar w:fldCharType="separate"/>
      </w:r>
      <w:r>
        <w:rPr>
          <w:rFonts w:ascii="Times New Roman" w:hAnsi="Times New Roman" w:cs="Times New Roman" w:eastAsiaTheme="minorEastAsia"/>
          <w:b/>
          <w:sz w:val="24"/>
          <w:szCs w:val="24"/>
        </w:rPr>
        <w:t>60</w:t>
      </w:r>
      <w:r>
        <w:rPr>
          <w:rFonts w:ascii="Times New Roman" w:hAnsi="Times New Roman" w:cs="Times New Roman" w:eastAsiaTheme="minorEastAsia"/>
          <w:b/>
          <w:sz w:val="24"/>
          <w:szCs w:val="24"/>
        </w:rPr>
        <w:fldChar w:fldCharType="end"/>
      </w:r>
      <w:r>
        <w:rPr>
          <w:rFonts w:ascii="Times New Roman" w:hAnsi="Times New Roman" w:cs="Times New Roman" w:eastAsiaTheme="minorEastAsia"/>
          <w:b/>
          <w:sz w:val="24"/>
          <w:szCs w:val="24"/>
        </w:rPr>
        <w:fldChar w:fldCharType="end"/>
      </w:r>
    </w:p>
    <w:p>
      <w:pPr>
        <w:pStyle w:val="13"/>
        <w:tabs>
          <w:tab w:val="right" w:leader="dot" w:pos="8296"/>
        </w:tabs>
        <w:spacing w:line="400" w:lineRule="exact"/>
        <w:rPr>
          <w:rFonts w:ascii="Times New Roman" w:hAnsi="Times New Roman" w:cs="Times New Roman" w:eastAsiaTheme="minorEastAsia"/>
          <w:sz w:val="24"/>
          <w:szCs w:val="24"/>
        </w:rPr>
      </w:pPr>
      <w:r>
        <w:fldChar w:fldCharType="begin"/>
      </w:r>
      <w:r>
        <w:instrText xml:space="preserve"> HYPERLINK \l "_Toc423019136" </w:instrText>
      </w:r>
      <w:r>
        <w:fldChar w:fldCharType="separate"/>
      </w:r>
      <w:r>
        <w:rPr>
          <w:rStyle w:val="25"/>
          <w:rFonts w:ascii="Times New Roman" w:hAnsi="Times New Roman" w:cs="Times New Roman" w:eastAsiaTheme="minorEastAsia"/>
          <w:b/>
          <w:bCs/>
          <w:sz w:val="24"/>
          <w:szCs w:val="24"/>
        </w:rPr>
        <w:t>附录</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_Toc423019136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60</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"_Toc423019137" </w:instrText>
      </w:r>
      <w:r>
        <w:fldChar w:fldCharType="separate"/>
      </w:r>
      <w:r>
        <w:rPr>
          <w:rStyle w:val="25"/>
          <w:rFonts w:ascii="Times New Roman" w:hAnsi="Times New Roman" w:cs="Times New Roman" w:eastAsiaTheme="minorEastAsia"/>
          <w:bCs/>
          <w:szCs w:val="24"/>
        </w:rPr>
        <w:t>附件1：煤炭远教网会员名单</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_Toc423019137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61</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"_Toc423019138" </w:instrText>
      </w:r>
      <w:r>
        <w:fldChar w:fldCharType="separate"/>
      </w:r>
      <w:r>
        <w:rPr>
          <w:rStyle w:val="25"/>
          <w:rFonts w:ascii="Times New Roman" w:hAnsi="Times New Roman" w:cs="Times New Roman" w:eastAsiaTheme="minorEastAsia"/>
          <w:bCs/>
          <w:szCs w:val="24"/>
        </w:rPr>
        <w:t>附件2：国家开放大学煤炭学院教育指导委员会成员名单</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_Toc423019138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64</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"_Toc423019139" </w:instrText>
      </w:r>
      <w:r>
        <w:fldChar w:fldCharType="separate"/>
      </w:r>
      <w:r>
        <w:rPr>
          <w:rStyle w:val="25"/>
          <w:rFonts w:ascii="Times New Roman" w:hAnsi="Times New Roman" w:cs="Times New Roman" w:eastAsiaTheme="minorEastAsia"/>
          <w:bCs/>
          <w:szCs w:val="24"/>
        </w:rPr>
        <w:t>附件3：全国煤炭行业实训基地名单</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_Toc423019139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68</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"_Toc423019140" </w:instrText>
      </w:r>
      <w:r>
        <w:fldChar w:fldCharType="separate"/>
      </w:r>
      <w:r>
        <w:rPr>
          <w:rStyle w:val="25"/>
          <w:rFonts w:ascii="Times New Roman" w:hAnsi="Times New Roman" w:cs="Times New Roman" w:eastAsiaTheme="minorEastAsia"/>
          <w:bCs/>
          <w:szCs w:val="24"/>
        </w:rPr>
        <w:t>附件4：全国煤炭行业技能大师工作室名单</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_Toc423019140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73</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"_Toc423019141" </w:instrText>
      </w:r>
      <w:r>
        <w:fldChar w:fldCharType="separate"/>
      </w:r>
      <w:r>
        <w:rPr>
          <w:rStyle w:val="25"/>
          <w:rFonts w:ascii="Times New Roman" w:hAnsi="Times New Roman" w:cs="Times New Roman" w:eastAsiaTheme="minorEastAsia"/>
          <w:bCs/>
          <w:szCs w:val="24"/>
        </w:rPr>
        <w:t>附件5：双证课程对应认证单元情况</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_Toc423019141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76</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 w:val="24"/>
          <w:szCs w:val="24"/>
        </w:rPr>
      </w:pPr>
      <w:r>
        <w:fldChar w:fldCharType="begin"/>
      </w:r>
      <w:r>
        <w:instrText xml:space="preserve"> HYPERLINK \l "_Toc423019142" </w:instrText>
      </w:r>
      <w:r>
        <w:fldChar w:fldCharType="separate"/>
      </w:r>
      <w:r>
        <w:rPr>
          <w:rStyle w:val="25"/>
          <w:rFonts w:ascii="Times New Roman" w:hAnsi="Times New Roman" w:cs="Times New Roman" w:eastAsiaTheme="minorEastAsia"/>
          <w:bCs/>
          <w:spacing w:val="-6"/>
          <w:szCs w:val="24"/>
        </w:rPr>
        <w:t>附件6  煤炭学院试点学习中心（点）落实计划表（煤炭院校类）</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_Toc423019142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77</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pStyle w:val="13"/>
        <w:tabs>
          <w:tab w:val="right" w:leader="dot" w:pos="8296"/>
        </w:tabs>
        <w:spacing w:line="400" w:lineRule="exact"/>
        <w:ind w:firstLine="420" w:firstLineChars="200"/>
        <w:rPr>
          <w:rFonts w:ascii="Times New Roman" w:hAnsi="Times New Roman" w:cs="Times New Roman" w:eastAsiaTheme="minorEastAsia"/>
          <w:szCs w:val="22"/>
        </w:rPr>
      </w:pPr>
      <w:r>
        <w:fldChar w:fldCharType="begin"/>
      </w:r>
      <w:r>
        <w:instrText xml:space="preserve"> HYPERLINK \l "_Toc423019143" </w:instrText>
      </w:r>
      <w:r>
        <w:fldChar w:fldCharType="separate"/>
      </w:r>
      <w:r>
        <w:rPr>
          <w:rStyle w:val="25"/>
          <w:rFonts w:ascii="Times New Roman" w:hAnsi="Times New Roman" w:cs="Times New Roman" w:eastAsiaTheme="minorEastAsia"/>
          <w:bCs/>
          <w:szCs w:val="24"/>
        </w:rPr>
        <w:t>附件7  煤炭学院试点学习中心（点）落实计划表（煤炭远教网会员企业类）</w:t>
      </w:r>
      <w:r>
        <w:rPr>
          <w:rFonts w:ascii="Times New Roman" w:hAnsi="Times New Roman" w:cs="Times New Roman" w:eastAsiaTheme="minorEastAsia"/>
          <w:sz w:val="24"/>
          <w:szCs w:val="24"/>
        </w:rPr>
        <w:tab/>
      </w:r>
      <w:r>
        <w:rPr>
          <w:rFonts w:ascii="Times New Roman" w:hAnsi="Times New Roman" w:cs="Times New Roman" w:eastAsiaTheme="minorEastAsia"/>
          <w:sz w:val="24"/>
          <w:szCs w:val="24"/>
        </w:rPr>
        <w:fldChar w:fldCharType="begin"/>
      </w:r>
      <w:r>
        <w:rPr>
          <w:rFonts w:ascii="Times New Roman" w:hAnsi="Times New Roman" w:cs="Times New Roman" w:eastAsiaTheme="minorEastAsia"/>
          <w:sz w:val="24"/>
          <w:szCs w:val="24"/>
        </w:rPr>
        <w:instrText xml:space="preserve"> PAGEREF _Toc423019143 \h </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83</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fldChar w:fldCharType="end"/>
      </w:r>
    </w:p>
    <w:p>
      <w:pPr>
        <w:spacing w:line="400" w:lineRule="exact"/>
        <w:jc w:val="center"/>
        <w:rPr>
          <w:rFonts w:ascii="Times New Roman" w:hAnsi="Times New Roman" w:eastAsia="华文中宋"/>
          <w:b/>
          <w:bCs/>
          <w:sz w:val="28"/>
          <w:szCs w:val="28"/>
        </w:rPr>
        <w:sectPr>
          <w:footerReference r:id="rId3" w:type="default"/>
          <w:pgSz w:w="11906" w:h="16838"/>
          <w:pgMar w:top="1440" w:right="1800" w:bottom="1440" w:left="1800" w:header="851" w:footer="992" w:gutter="0"/>
          <w:cols w:space="720" w:num="1"/>
          <w:docGrid w:type="lines" w:linePitch="312" w:charSpace="0"/>
        </w:sectPr>
      </w:pPr>
      <w:r>
        <w:rPr>
          <w:rFonts w:ascii="Times New Roman" w:hAnsi="Times New Roman" w:eastAsia="华文中宋"/>
          <w:b/>
          <w:bCs/>
          <w:sz w:val="28"/>
          <w:szCs w:val="28"/>
        </w:rPr>
        <w:fldChar w:fldCharType="end"/>
      </w:r>
    </w:p>
    <w:p>
      <w:pPr>
        <w:jc w:val="center"/>
        <w:rPr>
          <w:rFonts w:ascii="Times New Roman" w:hAnsi="Times New Roman" w:eastAsia="华文中宋"/>
          <w:b/>
          <w:bCs/>
          <w:sz w:val="28"/>
          <w:szCs w:val="28"/>
        </w:rPr>
        <w:sectPr>
          <w:type w:val="continuous"/>
          <w:pgSz w:w="11906" w:h="16838"/>
          <w:pgMar w:top="1440" w:right="1800" w:bottom="1440" w:left="1800" w:header="851" w:footer="992" w:gutter="0"/>
          <w:cols w:space="720" w:num="1"/>
          <w:docGrid w:type="lines" w:linePitch="312" w:charSpace="0"/>
        </w:sectPr>
      </w:pPr>
    </w:p>
    <w:p>
      <w:pPr>
        <w:jc w:val="center"/>
        <w:rPr>
          <w:rFonts w:ascii="Times New Roman" w:hAnsi="Times New Roman" w:eastAsia="华文中宋"/>
          <w:b/>
          <w:bCs/>
          <w:sz w:val="28"/>
          <w:szCs w:val="28"/>
        </w:rPr>
        <w:sectPr>
          <w:type w:val="continuous"/>
          <w:pgSz w:w="11906" w:h="16838"/>
          <w:pgMar w:top="1440" w:right="1800" w:bottom="1440" w:left="1800" w:header="851" w:footer="992" w:gutter="0"/>
          <w:cols w:space="720" w:num="1"/>
          <w:docGrid w:type="lines" w:linePitch="312" w:charSpace="0"/>
        </w:sectPr>
      </w:pPr>
    </w:p>
    <w:p>
      <w:pPr>
        <w:jc w:val="center"/>
        <w:rPr>
          <w:rFonts w:ascii="Times New Roman" w:hAnsi="Times New Roman" w:eastAsia="华文中宋"/>
          <w:b/>
          <w:bCs/>
          <w:sz w:val="28"/>
          <w:szCs w:val="28"/>
        </w:rPr>
      </w:pPr>
    </w:p>
    <w:p>
      <w:pPr>
        <w:jc w:val="center"/>
        <w:rPr>
          <w:rFonts w:ascii="Times New Roman" w:hAnsi="Times New Roman" w:eastAsia="华文中宋"/>
          <w:b/>
          <w:bCs/>
          <w:sz w:val="28"/>
          <w:szCs w:val="28"/>
        </w:rPr>
        <w:sectPr>
          <w:type w:val="continuous"/>
          <w:pgSz w:w="11906" w:h="16838"/>
          <w:pgMar w:top="1440" w:right="1800" w:bottom="1440" w:left="1800" w:header="851" w:footer="992" w:gutter="0"/>
          <w:cols w:space="720" w:num="1"/>
          <w:docGrid w:type="lines" w:linePitch="312" w:charSpace="0"/>
        </w:sectPr>
      </w:pPr>
    </w:p>
    <w:p>
      <w:pPr>
        <w:pStyle w:val="2"/>
        <w:spacing w:before="0" w:after="0"/>
        <w:ind w:firstLine="721"/>
        <w:jc w:val="center"/>
        <w:rPr>
          <w:rFonts w:ascii="华文中宋" w:hAnsi="华文中宋" w:eastAsia="华文中宋"/>
          <w:sz w:val="36"/>
          <w:szCs w:val="36"/>
        </w:rPr>
      </w:pPr>
      <w:bookmarkStart w:id="0" w:name="_Toc423019081"/>
      <w:r>
        <w:rPr>
          <w:rFonts w:ascii="华文中宋" w:hAnsi="华文中宋" w:eastAsia="华文中宋"/>
          <w:sz w:val="36"/>
          <w:szCs w:val="36"/>
        </w:rPr>
        <w:t>第一部分开办煤矿开采技术专业（专科）</w:t>
      </w:r>
      <w:bookmarkEnd w:id="0"/>
    </w:p>
    <w:p>
      <w:pPr>
        <w:pStyle w:val="2"/>
        <w:spacing w:before="0" w:after="0"/>
        <w:ind w:firstLine="721"/>
        <w:jc w:val="center"/>
        <w:rPr>
          <w:rFonts w:ascii="华文中宋" w:hAnsi="华文中宋" w:eastAsia="华文中宋"/>
          <w:sz w:val="36"/>
          <w:szCs w:val="36"/>
        </w:rPr>
      </w:pPr>
      <w:bookmarkStart w:id="1" w:name="_Toc423019082"/>
      <w:r>
        <w:rPr>
          <w:rFonts w:ascii="华文中宋" w:hAnsi="华文中宋" w:eastAsia="华文中宋"/>
          <w:sz w:val="36"/>
          <w:szCs w:val="36"/>
        </w:rPr>
        <w:t>的可行性分析报告</w:t>
      </w:r>
      <w:bookmarkEnd w:id="1"/>
    </w:p>
    <w:p>
      <w:pPr>
        <w:pStyle w:val="31"/>
        <w:shd w:val="clear" w:color="auto" w:fill="FFFFFF"/>
        <w:spacing w:before="0" w:beforeAutospacing="0" w:after="0" w:afterAutospacing="0"/>
        <w:rPr>
          <w:rFonts w:ascii="Times New Roman" w:hAnsi="Times New Roman" w:eastAsia="仿宋_GB2312" w:cs="Times New Roman"/>
          <w:sz w:val="30"/>
          <w:szCs w:val="30"/>
        </w:rPr>
      </w:pPr>
      <w:r>
        <w:rPr>
          <w:rFonts w:ascii="Times New Roman" w:hAnsi="Times New Roman" w:eastAsia="仿宋_GB2312" w:cs="Times New Roman"/>
          <w:sz w:val="30"/>
          <w:szCs w:val="30"/>
        </w:rPr>
        <w:t>国家开放大学：</w:t>
      </w:r>
    </w:p>
    <w:p>
      <w:pPr>
        <w:pStyle w:val="31"/>
        <w:shd w:val="clear" w:color="auto" w:fill="FFFFFF"/>
        <w:spacing w:before="0" w:beforeAutospacing="0" w:after="0" w:afterAutospacing="0"/>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煤炭学院拟于2015年秋季开设煤矿开采技术专业（专科），经调研及筹备形成如下分析报告。</w:t>
      </w:r>
    </w:p>
    <w:p>
      <w:pPr>
        <w:ind w:firstLine="600" w:firstLineChars="200"/>
        <w:rPr>
          <w:rFonts w:ascii="Times New Roman" w:hAnsi="Times New Roman" w:eastAsia="仿宋_GB2312"/>
          <w:sz w:val="30"/>
          <w:szCs w:val="30"/>
        </w:rPr>
      </w:pPr>
      <w:r>
        <w:rPr>
          <w:rFonts w:ascii="Times New Roman" w:hAnsi="Times New Roman" w:eastAsia="仿宋_GB2312"/>
          <w:sz w:val="30"/>
          <w:szCs w:val="30"/>
        </w:rPr>
        <w:t>近年来，煤炭工业作为我国国民经济中的重要产业获得了迅猛发展，但与其他行业相比，煤炭行业专业技术人才和高技能人才严重短缺，人才流失非常严重。尤其在当前煤炭行业下滑态势下，煤炭望转方式、调结构、促升级，对专业技术人才提出更高要求，采矿专业的毕业生远远满足不了煤炭企业的发展需求。</w:t>
      </w:r>
    </w:p>
    <w:p>
      <w:pPr>
        <w:pStyle w:val="2"/>
        <w:spacing w:beforeLines="50" w:afterLines="50" w:line="500" w:lineRule="exact"/>
        <w:ind w:firstLine="744" w:firstLineChars="247"/>
        <w:rPr>
          <w:rFonts w:ascii="Times New Roman" w:hAnsi="Times New Roman" w:cs="Times New Roman"/>
          <w:sz w:val="30"/>
          <w:szCs w:val="30"/>
        </w:rPr>
      </w:pPr>
      <w:bookmarkStart w:id="2" w:name="_Toc423019083"/>
      <w:r>
        <w:rPr>
          <w:rFonts w:ascii="Times New Roman" w:hAnsi="Times New Roman" w:cs="Times New Roman"/>
          <w:sz w:val="30"/>
          <w:szCs w:val="30"/>
        </w:rPr>
        <w:t>一、煤炭开发利用面临的形势</w:t>
      </w:r>
      <w:bookmarkEnd w:id="2"/>
    </w:p>
    <w:p>
      <w:pPr>
        <w:pStyle w:val="3"/>
        <w:spacing w:beforeLines="50" w:afterLines="50" w:line="500" w:lineRule="exact"/>
        <w:ind w:firstLine="602" w:firstLineChars="200"/>
        <w:rPr>
          <w:rFonts w:ascii="Times New Roman" w:hAnsi="Times New Roman" w:cs="Times New Roman"/>
          <w:sz w:val="30"/>
          <w:szCs w:val="30"/>
        </w:rPr>
      </w:pPr>
      <w:bookmarkStart w:id="3" w:name="_Toc423019084"/>
      <w:r>
        <w:rPr>
          <w:rFonts w:ascii="Times New Roman" w:hAnsi="Times New Roman" w:cs="Times New Roman"/>
          <w:sz w:val="30"/>
          <w:szCs w:val="30"/>
        </w:rPr>
        <w:t>（一）煤炭的战略地位与作用</w:t>
      </w:r>
      <w:bookmarkEnd w:id="3"/>
    </w:p>
    <w:p>
      <w:pPr>
        <w:rPr>
          <w:rFonts w:ascii="Times New Roman" w:hAnsi="Times New Roman"/>
          <w:b/>
        </w:rPr>
      </w:pPr>
      <w:r>
        <w:rPr>
          <w:rFonts w:ascii="Times New Roman" w:hAnsi="Times New Roman" w:eastAsia="仿宋_GB2312"/>
          <w:b/>
          <w:sz w:val="30"/>
          <w:szCs w:val="30"/>
        </w:rPr>
        <w:t xml:space="preserve">  1、煤炭是国民经济快速发展的重要支撑</w:t>
      </w:r>
    </w:p>
    <w:p>
      <w:pPr>
        <w:ind w:firstLine="600" w:firstLineChars="200"/>
        <w:rPr>
          <w:rFonts w:ascii="Times New Roman" w:hAnsi="Times New Roman" w:eastAsia="仿宋_GB2312"/>
          <w:kern w:val="0"/>
          <w:sz w:val="30"/>
          <w:szCs w:val="30"/>
        </w:rPr>
      </w:pPr>
      <w:r>
        <w:rPr>
          <w:rFonts w:ascii="Times New Roman" w:hAnsi="Times New Roman" w:eastAsia="仿宋_GB2312"/>
          <w:kern w:val="0"/>
          <w:sz w:val="30"/>
          <w:szCs w:val="30"/>
        </w:rPr>
        <w:t>近年来，中国经济快速发展，能源需求持续增加，煤炭生产的快速增长保障了能源供应，为国民经济持续发展和社会正常运转做出了巨大贡献。“十一五”期间，中国煤炭开发利用对国内生产总值总量和增量的平均贡献率分别为15%和18%。在未来相当长时期内，煤炭行业仍将是中国经济发展的支柱产业和重要推动力。</w:t>
      </w:r>
    </w:p>
    <w:p>
      <w:pPr>
        <w:ind w:firstLine="602" w:firstLineChars="200"/>
        <w:rPr>
          <w:rFonts w:ascii="Times New Roman" w:hAnsi="Times New Roman" w:eastAsia="仿宋_GB2312"/>
          <w:b/>
          <w:kern w:val="0"/>
          <w:sz w:val="30"/>
          <w:szCs w:val="30"/>
        </w:rPr>
      </w:pPr>
      <w:r>
        <w:rPr>
          <w:rFonts w:ascii="Times New Roman" w:hAnsi="Times New Roman" w:eastAsia="仿宋_GB2312"/>
          <w:b/>
          <w:kern w:val="0"/>
          <w:sz w:val="30"/>
          <w:szCs w:val="30"/>
        </w:rPr>
        <w:t>2、煤炭是国家能源安全的重要保障</w:t>
      </w:r>
    </w:p>
    <w:p>
      <w:pPr>
        <w:ind w:firstLine="600" w:firstLineChars="200"/>
        <w:rPr>
          <w:rFonts w:ascii="Times New Roman" w:hAnsi="Times New Roman" w:eastAsia="仿宋_GB2312"/>
          <w:kern w:val="0"/>
          <w:sz w:val="30"/>
          <w:szCs w:val="30"/>
        </w:rPr>
      </w:pPr>
      <w:r>
        <w:rPr>
          <w:rFonts w:ascii="Times New Roman" w:hAnsi="Times New Roman" w:eastAsia="仿宋_GB2312"/>
          <w:kern w:val="0"/>
          <w:sz w:val="30"/>
          <w:szCs w:val="30"/>
        </w:rPr>
        <w:t>煤炭不仅可转化为清洁的电力，还可以生产出清洁的气、液体燃料和化学品，符合中国多元化石油替代战略，煤炭的开发利用将继续为国家能源安全提供重要保障。</w:t>
      </w:r>
    </w:p>
    <w:p>
      <w:pPr>
        <w:ind w:firstLine="602" w:firstLineChars="200"/>
        <w:rPr>
          <w:rFonts w:ascii="Times New Roman" w:hAnsi="Times New Roman" w:eastAsia="仿宋_GB2312"/>
          <w:b/>
          <w:kern w:val="0"/>
          <w:sz w:val="30"/>
          <w:szCs w:val="30"/>
        </w:rPr>
      </w:pPr>
      <w:r>
        <w:rPr>
          <w:rFonts w:ascii="Times New Roman" w:hAnsi="Times New Roman" w:eastAsia="仿宋_GB2312"/>
          <w:b/>
          <w:kern w:val="0"/>
          <w:sz w:val="30"/>
          <w:szCs w:val="30"/>
        </w:rPr>
        <w:t>3、煤炭在维护社会稳定与区域发展方面的作用日益突出</w:t>
      </w:r>
    </w:p>
    <w:p>
      <w:pPr>
        <w:ind w:firstLine="600" w:firstLineChars="200"/>
        <w:rPr>
          <w:rFonts w:ascii="Times New Roman" w:hAnsi="Times New Roman" w:eastAsia="仿宋_GB2312"/>
          <w:kern w:val="0"/>
          <w:sz w:val="30"/>
          <w:szCs w:val="30"/>
        </w:rPr>
      </w:pPr>
      <w:r>
        <w:rPr>
          <w:rFonts w:ascii="Times New Roman" w:hAnsi="Times New Roman" w:eastAsia="仿宋_GB2312"/>
          <w:kern w:val="0"/>
          <w:sz w:val="30"/>
          <w:szCs w:val="30"/>
        </w:rPr>
        <w:t>煤炭是关系国计民生的基础能源行业，煤炭开发及其下游产业链提供了大量就业岗位，目前煤炭行业从业人数总数在550万人以上，下游产业的就业人数更多。同时，煤炭开发重心西移为中西部地区的跨越式发展提供了历史机遇，将带动新疆等少数民族地区的社会经济发展，从而缩小地区之间、民族之间的发展差距，为维护民族团结和社会长治久安做出重大贡献。</w:t>
      </w:r>
    </w:p>
    <w:p>
      <w:pPr>
        <w:ind w:firstLine="602" w:firstLineChars="200"/>
        <w:rPr>
          <w:rFonts w:ascii="Times New Roman" w:hAnsi="Times New Roman" w:eastAsia="仿宋_GB2312"/>
          <w:b/>
          <w:kern w:val="0"/>
          <w:sz w:val="30"/>
          <w:szCs w:val="30"/>
        </w:rPr>
      </w:pPr>
      <w:r>
        <w:rPr>
          <w:rFonts w:ascii="Times New Roman" w:hAnsi="Times New Roman" w:eastAsia="仿宋_GB2312"/>
          <w:b/>
          <w:kern w:val="0"/>
          <w:sz w:val="30"/>
          <w:szCs w:val="30"/>
        </w:rPr>
        <w:t>4、煤炭的主体能源地位在未来相当长时期内不会动摇</w:t>
      </w:r>
    </w:p>
    <w:p>
      <w:pPr>
        <w:ind w:firstLine="600" w:firstLineChars="200"/>
        <w:rPr>
          <w:rFonts w:ascii="Times New Roman" w:hAnsi="Times New Roman" w:eastAsia="仿宋_GB2312"/>
          <w:kern w:val="0"/>
          <w:sz w:val="30"/>
          <w:szCs w:val="30"/>
        </w:rPr>
      </w:pPr>
      <w:r>
        <w:rPr>
          <w:rFonts w:ascii="Times New Roman" w:hAnsi="Times New Roman" w:eastAsia="仿宋_GB2312"/>
          <w:kern w:val="0"/>
          <w:sz w:val="30"/>
          <w:szCs w:val="30"/>
        </w:rPr>
        <w:t>煤炭是中国储量最丰富的化石燃料，占中国化石能源储量的96%，一直在一次能源生产和消费结构中占据着主导地位。从资源量和开发利用条件等方面综合来看，在未来相当长时期内，煤炭仍将是中国最稳定、最可靠的基础能源。</w:t>
      </w:r>
    </w:p>
    <w:p>
      <w:pPr>
        <w:pStyle w:val="3"/>
        <w:spacing w:beforeLines="50" w:afterLines="50" w:line="500" w:lineRule="exact"/>
        <w:ind w:firstLine="602" w:firstLineChars="200"/>
        <w:rPr>
          <w:rFonts w:ascii="Times New Roman" w:hAnsi="Times New Roman" w:cs="Times New Roman"/>
          <w:sz w:val="30"/>
          <w:szCs w:val="30"/>
        </w:rPr>
      </w:pPr>
      <w:bookmarkStart w:id="4" w:name="_Toc423019085"/>
      <w:r>
        <w:rPr>
          <w:rFonts w:ascii="Times New Roman" w:hAnsi="Times New Roman" w:cs="Times New Roman"/>
          <w:sz w:val="30"/>
          <w:szCs w:val="30"/>
        </w:rPr>
        <w:t>（二）煤炭开发利用面临的挑战</w:t>
      </w:r>
      <w:bookmarkEnd w:id="4"/>
    </w:p>
    <w:p>
      <w:pPr>
        <w:ind w:firstLine="602" w:firstLineChars="200"/>
        <w:rPr>
          <w:rFonts w:ascii="Times New Roman" w:hAnsi="Times New Roman" w:eastAsia="仿宋_GB2312"/>
          <w:b/>
          <w:kern w:val="0"/>
          <w:sz w:val="30"/>
          <w:szCs w:val="30"/>
        </w:rPr>
      </w:pPr>
      <w:r>
        <w:rPr>
          <w:rFonts w:ascii="Times New Roman" w:hAnsi="Times New Roman" w:eastAsia="仿宋_GB2312"/>
          <w:b/>
          <w:kern w:val="0"/>
          <w:sz w:val="30"/>
          <w:szCs w:val="30"/>
        </w:rPr>
        <w:t>1、煤炭资源勘查和地质保障能力有待加强</w:t>
      </w:r>
    </w:p>
    <w:p>
      <w:pPr>
        <w:ind w:firstLine="600" w:firstLineChars="200"/>
        <w:rPr>
          <w:rFonts w:ascii="Times New Roman" w:hAnsi="Times New Roman" w:eastAsia="仿宋_GB2312"/>
          <w:kern w:val="0"/>
          <w:sz w:val="30"/>
          <w:szCs w:val="30"/>
        </w:rPr>
      </w:pPr>
      <w:r>
        <w:rPr>
          <w:rFonts w:ascii="Times New Roman" w:hAnsi="Times New Roman" w:eastAsia="仿宋_GB2312"/>
          <w:kern w:val="0"/>
          <w:sz w:val="30"/>
          <w:szCs w:val="30"/>
        </w:rPr>
        <w:t>中国煤炭资源分布不均衡，西部地质勘查工作相对薄弱，资源精细勘查程度较低，严重影响了煤炭资源的可持续开发。</w:t>
      </w:r>
    </w:p>
    <w:p>
      <w:pPr>
        <w:ind w:firstLine="602" w:firstLineChars="200"/>
        <w:rPr>
          <w:rFonts w:ascii="Times New Roman" w:hAnsi="Times New Roman" w:eastAsia="仿宋_GB2312"/>
          <w:b/>
          <w:kern w:val="0"/>
          <w:sz w:val="30"/>
          <w:szCs w:val="30"/>
        </w:rPr>
      </w:pPr>
      <w:r>
        <w:rPr>
          <w:rFonts w:ascii="Times New Roman" w:hAnsi="Times New Roman" w:eastAsia="仿宋_GB2312"/>
          <w:b/>
          <w:kern w:val="0"/>
          <w:sz w:val="30"/>
          <w:szCs w:val="30"/>
        </w:rPr>
        <w:t>2、煤炭开采压力进一步加大</w:t>
      </w:r>
    </w:p>
    <w:p>
      <w:pPr>
        <w:ind w:firstLine="600" w:firstLineChars="200"/>
        <w:rPr>
          <w:rFonts w:ascii="Times New Roman" w:hAnsi="Times New Roman" w:eastAsia="仿宋_GB2312"/>
          <w:kern w:val="0"/>
          <w:sz w:val="30"/>
          <w:szCs w:val="30"/>
        </w:rPr>
      </w:pPr>
      <w:r>
        <w:rPr>
          <w:rFonts w:ascii="Times New Roman" w:hAnsi="Times New Roman" w:eastAsia="仿宋_GB2312"/>
          <w:kern w:val="0"/>
          <w:sz w:val="30"/>
          <w:szCs w:val="30"/>
        </w:rPr>
        <w:t>一是煤炭开发引发的生态环境问题日益严重，已成为提高中西部煤炭开发能力的硬约束，水土流失加剧，土地沙漠化蔓延，风沙灾害频繁。二是煤炭资源赋存条件复杂，受瓦斯、顶板、风等灾害隐患和地质条件的影响，中国东中部大量煤炭不适宜机械化开采，制约了煤炭生产能力的提升。三是煤炭开采方式粗放，平均回采率低，煤矿安全生产形势依然严峻。</w:t>
      </w:r>
    </w:p>
    <w:p>
      <w:pPr>
        <w:ind w:firstLine="602" w:firstLineChars="200"/>
        <w:rPr>
          <w:rFonts w:ascii="Times New Roman" w:hAnsi="Times New Roman" w:eastAsia="仿宋_GB2312"/>
          <w:b/>
          <w:kern w:val="0"/>
          <w:sz w:val="30"/>
          <w:szCs w:val="30"/>
        </w:rPr>
      </w:pPr>
      <w:r>
        <w:rPr>
          <w:rFonts w:ascii="Times New Roman" w:hAnsi="Times New Roman" w:eastAsia="仿宋_GB2312"/>
          <w:b/>
          <w:kern w:val="0"/>
          <w:sz w:val="30"/>
          <w:szCs w:val="30"/>
        </w:rPr>
        <w:t>3、煤炭远距离输配面临巨大挑战</w:t>
      </w:r>
    </w:p>
    <w:p>
      <w:pPr>
        <w:ind w:firstLine="600" w:firstLineChars="200"/>
        <w:rPr>
          <w:rFonts w:ascii="Times New Roman" w:hAnsi="Times New Roman" w:eastAsia="仿宋_GB2312"/>
          <w:kern w:val="0"/>
          <w:sz w:val="30"/>
          <w:szCs w:val="30"/>
        </w:rPr>
      </w:pPr>
      <w:r>
        <w:rPr>
          <w:rFonts w:ascii="Times New Roman" w:hAnsi="Times New Roman" w:eastAsia="仿宋_GB2312"/>
          <w:kern w:val="0"/>
          <w:sz w:val="30"/>
          <w:szCs w:val="30"/>
        </w:rPr>
        <w:t>中国煤炭资源分布西多东少、北多南少，与区域经济发展水平和煤炭消费需求极不协调，决定了中国“西煤东运”、“北煤南运”的总体流向。尽管全国煤炭远距离运输量已成倍增长，但仍不能满足迅速增长的市场需求，煤炭运输瓶颈问题已成为影响和制约中国煤炭稳定供应的重要因素。</w:t>
      </w:r>
    </w:p>
    <w:p>
      <w:pPr>
        <w:ind w:firstLine="602" w:firstLineChars="200"/>
        <w:rPr>
          <w:rFonts w:ascii="Times New Roman" w:hAnsi="Times New Roman" w:eastAsia="仿宋_GB2312"/>
          <w:b/>
          <w:kern w:val="0"/>
          <w:sz w:val="30"/>
          <w:szCs w:val="30"/>
        </w:rPr>
      </w:pPr>
      <w:r>
        <w:rPr>
          <w:rFonts w:ascii="Times New Roman" w:hAnsi="Times New Roman" w:eastAsia="仿宋_GB2312"/>
          <w:b/>
          <w:kern w:val="0"/>
          <w:sz w:val="30"/>
          <w:szCs w:val="30"/>
        </w:rPr>
        <w:t>4、煤炭开发利用节能减排任务艰巨</w:t>
      </w:r>
    </w:p>
    <w:p>
      <w:pPr>
        <w:ind w:firstLine="600" w:firstLineChars="200"/>
        <w:rPr>
          <w:rFonts w:ascii="Times New Roman" w:hAnsi="Times New Roman" w:eastAsia="仿宋_GB2312"/>
          <w:kern w:val="0"/>
          <w:sz w:val="30"/>
          <w:szCs w:val="30"/>
        </w:rPr>
      </w:pPr>
      <w:r>
        <w:rPr>
          <w:rFonts w:ascii="Times New Roman" w:hAnsi="Times New Roman" w:eastAsia="仿宋_GB2312"/>
          <w:kern w:val="0"/>
          <w:sz w:val="30"/>
          <w:szCs w:val="30"/>
        </w:rPr>
        <w:t>中国所处的发展阶段和经济结构决定了其能源利用效率相对较低，污染严重。煤炭利用过程中的大气污染物排放是造成不能达标的主要原因。为了实现绝大部分城市空气质量达标，污染物的排放量必须进一步大幅削减。在低碳经济国际大潮流下，如何开创一条适合中国国情的煤炭清洁高效低碳化利用之路是今后必须着力解决的重大问题，这也是实现中国煤炭可持续发展面临的重大挑战。</w:t>
      </w:r>
    </w:p>
    <w:p>
      <w:pPr>
        <w:ind w:firstLine="602" w:firstLineChars="200"/>
        <w:rPr>
          <w:rFonts w:ascii="Times New Roman" w:hAnsi="Times New Roman" w:eastAsia="仿宋_GB2312"/>
          <w:b/>
          <w:kern w:val="0"/>
          <w:sz w:val="30"/>
          <w:szCs w:val="30"/>
        </w:rPr>
      </w:pPr>
      <w:r>
        <w:rPr>
          <w:rFonts w:ascii="Times New Roman" w:hAnsi="Times New Roman" w:eastAsia="仿宋_GB2312"/>
          <w:b/>
          <w:kern w:val="0"/>
          <w:sz w:val="30"/>
          <w:szCs w:val="30"/>
        </w:rPr>
        <w:t>5、煤炭科技创新能力亟待提升</w:t>
      </w:r>
    </w:p>
    <w:p>
      <w:pPr>
        <w:ind w:firstLine="600" w:firstLineChars="200"/>
        <w:rPr>
          <w:rFonts w:ascii="Times New Roman" w:hAnsi="Times New Roman" w:eastAsia="仿宋_GB2312"/>
          <w:kern w:val="0"/>
          <w:sz w:val="30"/>
          <w:szCs w:val="30"/>
        </w:rPr>
      </w:pPr>
      <w:r>
        <w:rPr>
          <w:rFonts w:ascii="Times New Roman" w:hAnsi="Times New Roman" w:eastAsia="仿宋_GB2312"/>
          <w:kern w:val="0"/>
          <w:sz w:val="30"/>
          <w:szCs w:val="30"/>
        </w:rPr>
        <w:t>技术的发展与进步是实现煤炭清洁高效可持续开发利用的关键，开发下一代低碳、高效和“近零排放能源系统”的煤炭开发利用技术，是世界能源技术发展的重要方向。然而，煤炭开发利用技术的发展和应用还面临众多挑战：煤炭开采还有许多技术难题需要解决，煤炭高效转化与燃烧还有许多核心技术、工程技术方面的问题需要攻关。只有抓住机遇，搞好原始创新，掌握自主知识产权核心技术，才能提高煤炭利用技术的创新水平，摆脱核心技术受制于人的局面，保证国家节能减排目标的实现。</w:t>
      </w:r>
    </w:p>
    <w:p>
      <w:pPr>
        <w:pStyle w:val="2"/>
        <w:spacing w:beforeLines="50" w:afterLines="50" w:line="500" w:lineRule="exact"/>
        <w:ind w:firstLine="744" w:firstLineChars="247"/>
        <w:rPr>
          <w:rFonts w:ascii="Times New Roman" w:hAnsi="Times New Roman" w:cs="Times New Roman"/>
          <w:sz w:val="30"/>
          <w:szCs w:val="30"/>
        </w:rPr>
      </w:pPr>
      <w:bookmarkStart w:id="5" w:name="_Toc423019086"/>
      <w:r>
        <w:rPr>
          <w:rFonts w:ascii="Times New Roman" w:hAnsi="Times New Roman" w:cs="Times New Roman"/>
          <w:sz w:val="30"/>
          <w:szCs w:val="30"/>
        </w:rPr>
        <w:t>二、开设</w:t>
      </w:r>
      <w:r>
        <w:rPr>
          <w:rFonts w:ascii="Times New Roman" w:hAnsi="Times New Roman" w:eastAsia="仿宋_GB2312" w:cs="Times New Roman"/>
          <w:sz w:val="30"/>
          <w:szCs w:val="30"/>
        </w:rPr>
        <w:t>煤矿开采技术</w:t>
      </w:r>
      <w:r>
        <w:rPr>
          <w:rFonts w:ascii="Times New Roman" w:hAnsi="Times New Roman" w:cs="Times New Roman"/>
          <w:sz w:val="30"/>
          <w:szCs w:val="30"/>
        </w:rPr>
        <w:t>专业的必要性</w:t>
      </w:r>
      <w:bookmarkEnd w:id="5"/>
    </w:p>
    <w:p>
      <w:pPr>
        <w:pStyle w:val="3"/>
        <w:spacing w:beforeLines="50" w:afterLines="50" w:line="500" w:lineRule="exact"/>
        <w:ind w:firstLine="602" w:firstLineChars="200"/>
        <w:rPr>
          <w:rFonts w:ascii="Times New Roman" w:hAnsi="Times New Roman" w:cs="Times New Roman"/>
          <w:sz w:val="30"/>
          <w:szCs w:val="30"/>
        </w:rPr>
      </w:pPr>
      <w:bookmarkStart w:id="6" w:name="_Toc423019087"/>
      <w:r>
        <w:rPr>
          <w:rFonts w:ascii="Times New Roman" w:hAnsi="Times New Roman" w:cs="Times New Roman"/>
          <w:sz w:val="30"/>
          <w:szCs w:val="30"/>
        </w:rPr>
        <w:t>（一）煤矿安全生产的需要</w:t>
      </w:r>
      <w:bookmarkEnd w:id="6"/>
    </w:p>
    <w:p>
      <w:pPr>
        <w:pStyle w:val="19"/>
        <w:spacing w:line="378" w:lineRule="atLeast"/>
        <w:rPr>
          <w:rFonts w:ascii="Times New Roman" w:hAnsi="Times New Roman" w:eastAsia="仿宋_GB2312" w:cs="Times New Roman"/>
          <w:sz w:val="30"/>
          <w:szCs w:val="30"/>
        </w:rPr>
      </w:pPr>
      <w:r>
        <w:rPr>
          <w:rFonts w:ascii="Times New Roman" w:hAnsi="Times New Roman" w:eastAsia="仿宋_GB2312" w:cs="Times New Roman"/>
          <w:sz w:val="30"/>
          <w:szCs w:val="30"/>
        </w:rPr>
        <w:t>煤矿安全是煤矿生产的重中之重。从2008年开始，煤矿百万吨死亡率一降再降，直降至2013年的0.293。2014年，煤矿百万吨死亡率同比下降了12.2%，事故起数和死亡人数同比分别下降14.1%和13.4%，重特大事故同比分别下降12.5%和10.5%，连续21个月未发生特别重大事故。近年来，全国煤矿安全生产状况总体稳定、趋于好转，但形势依然十分严峻，事故总量仍然很大，非法违法生产现象严重，重特大事故多发频发，给人民群众的生命财产安全造成重大损失。究其原因，有产业集中度低、矿井开采条件不断恶化的问题，有技术力量薄弱、安全投入不足的问题，有安全管理薄弱、主体责任不落实的问题，更有关键岗位、特殊岗位专业技术与管理人才严重短缺、总体素质不高的问题。</w:t>
      </w:r>
    </w:p>
    <w:p>
      <w:pPr>
        <w:pStyle w:val="3"/>
        <w:spacing w:beforeLines="50" w:afterLines="50" w:line="500" w:lineRule="exact"/>
        <w:ind w:firstLine="602" w:firstLineChars="200"/>
        <w:rPr>
          <w:rFonts w:ascii="Times New Roman" w:hAnsi="Times New Roman" w:cs="Times New Roman"/>
          <w:sz w:val="30"/>
          <w:szCs w:val="30"/>
        </w:rPr>
      </w:pPr>
      <w:bookmarkStart w:id="7" w:name="_Toc423019088"/>
      <w:r>
        <w:rPr>
          <w:rFonts w:ascii="Times New Roman" w:hAnsi="Times New Roman" w:cs="Times New Roman"/>
          <w:sz w:val="30"/>
          <w:szCs w:val="30"/>
        </w:rPr>
        <w:t>（二）煤炭行业专业技术人才紧缺</w:t>
      </w:r>
      <w:bookmarkEnd w:id="7"/>
    </w:p>
    <w:p>
      <w:pPr>
        <w:ind w:firstLine="602" w:firstLineChars="200"/>
        <w:rPr>
          <w:rFonts w:ascii="Times New Roman" w:hAnsi="Times New Roman" w:eastAsia="仿宋_GB2312"/>
          <w:b/>
          <w:kern w:val="0"/>
          <w:sz w:val="30"/>
          <w:szCs w:val="30"/>
        </w:rPr>
      </w:pPr>
      <w:r>
        <w:rPr>
          <w:rFonts w:ascii="Times New Roman" w:hAnsi="Times New Roman" w:eastAsia="仿宋_GB2312"/>
          <w:b/>
          <w:kern w:val="0"/>
          <w:sz w:val="30"/>
          <w:szCs w:val="30"/>
        </w:rPr>
        <w:t>1、当前形势下煤炭行业人才队伍建设面临的问题</w:t>
      </w:r>
    </w:p>
    <w:p>
      <w:pPr>
        <w:ind w:firstLine="600" w:firstLineChars="200"/>
        <w:rPr>
          <w:rFonts w:ascii="Times New Roman" w:hAnsi="Times New Roman" w:eastAsia="仿宋_GB2312"/>
          <w:kern w:val="0"/>
          <w:sz w:val="30"/>
          <w:szCs w:val="30"/>
        </w:rPr>
      </w:pPr>
      <w:r>
        <w:rPr>
          <w:rFonts w:ascii="Times New Roman" w:hAnsi="Times New Roman" w:eastAsia="仿宋_GB2312"/>
          <w:kern w:val="0"/>
          <w:sz w:val="30"/>
          <w:szCs w:val="30"/>
        </w:rPr>
        <w:t>在煤炭行业的下滑态势下，企业经济效益下降，对行业人才队伍建设带来一系列问题。从需求方说，一是控制人才队伍的规模和人才流入。人才的吸收和引进需要依靠优厚的福利待遇，目前部分煤炭行业职工工资发放困难，企业开始减员增效，人才引进的资金消减。二是收入增长困难，人才队伍有流失现象。人才的使用必须要付出与之能力相匹配的工资待遇，行业收入水平的低位徘徊会造成优质人才向行业外转移。从供给方说，一是煤矿企业大多处于偏远地区，工作条件艰苦，且收入水平偏低，危险性大，人才不愿到煤矿企业就业，企业急需的人才引进困难。二是迫于就业形势压力，专业设置调整，煤矿主体专业人才资源减少。煤炭行业专业技术人才和高技能操作人员严重短缺，96%的煤炭企业缺少机电专业人才，88%的煤炭企业缺少采矿专业人才。</w:t>
      </w:r>
    </w:p>
    <w:p>
      <w:pPr>
        <w:ind w:firstLine="645"/>
        <w:rPr>
          <w:rFonts w:ascii="Times New Roman" w:hAnsi="Times New Roman" w:eastAsia="仿宋_GB2312"/>
          <w:b/>
          <w:kern w:val="0"/>
          <w:sz w:val="30"/>
          <w:szCs w:val="30"/>
        </w:rPr>
      </w:pPr>
      <w:r>
        <w:rPr>
          <w:rFonts w:ascii="Times New Roman" w:hAnsi="Times New Roman" w:eastAsia="仿宋_GB2312"/>
          <w:b/>
          <w:kern w:val="0"/>
          <w:sz w:val="30"/>
          <w:szCs w:val="30"/>
        </w:rPr>
        <w:t>2、新形势下煤炭行业人才队伍建设面临的挑战</w:t>
      </w:r>
    </w:p>
    <w:p>
      <w:pPr>
        <w:ind w:firstLine="585"/>
        <w:rPr>
          <w:rFonts w:ascii="Times New Roman" w:hAnsi="Times New Roman" w:eastAsia="仿宋_GB2312"/>
          <w:kern w:val="0"/>
          <w:sz w:val="30"/>
          <w:szCs w:val="30"/>
        </w:rPr>
      </w:pPr>
      <w:r>
        <w:rPr>
          <w:rFonts w:ascii="Times New Roman" w:hAnsi="Times New Roman" w:eastAsia="仿宋_GB2312"/>
          <w:kern w:val="0"/>
          <w:sz w:val="30"/>
          <w:szCs w:val="30"/>
        </w:rPr>
        <w:t>截止到2012年底，煤炭行业规模以上企业从业人员527.19万人，人才总量59.39万人，人才占从业人数的11.27%（见表1）。从学历上看，全国煤炭行业从业人员中，博士、硕士、本科、大专、大专以下人员分别为3030人、20490人、300526人、565203人和4381699人，分别占0.06%、0.39%、5.70%、10.72%、16.87%和83.13%（见表2）。据统计，煤炭方面的毕业生尤其是煤炭主体专业如采矿、地质、煤矿机电、安全类等毕业生，供需比例为1：3，目前，煤炭企业专业技术人才总量不足（见表3），尤其是煤炭生产一线高技能人才更为匮乏（见表4）。从业人员中，46岁以下的人员占比较大（见表5），具有开展学历教育的基础和年龄可行性。</w:t>
      </w:r>
    </w:p>
    <w:tbl>
      <w:tblPr>
        <w:tblStyle w:val="21"/>
        <w:tblW w:w="9180" w:type="dxa"/>
        <w:jc w:val="center"/>
        <w:tblLayout w:type="fixed"/>
        <w:tblCellMar>
          <w:top w:w="0" w:type="dxa"/>
          <w:left w:w="108" w:type="dxa"/>
          <w:bottom w:w="0" w:type="dxa"/>
          <w:right w:w="108" w:type="dxa"/>
        </w:tblCellMar>
      </w:tblPr>
      <w:tblGrid>
        <w:gridCol w:w="1080"/>
        <w:gridCol w:w="900"/>
        <w:gridCol w:w="900"/>
        <w:gridCol w:w="180"/>
        <w:gridCol w:w="720"/>
        <w:gridCol w:w="360"/>
        <w:gridCol w:w="540"/>
        <w:gridCol w:w="540"/>
        <w:gridCol w:w="360"/>
        <w:gridCol w:w="720"/>
        <w:gridCol w:w="180"/>
        <w:gridCol w:w="900"/>
        <w:gridCol w:w="900"/>
        <w:gridCol w:w="180"/>
        <w:gridCol w:w="720"/>
      </w:tblGrid>
      <w:tr>
        <w:tblPrEx>
          <w:tblCellMar>
            <w:top w:w="0" w:type="dxa"/>
            <w:left w:w="108" w:type="dxa"/>
            <w:bottom w:w="0" w:type="dxa"/>
            <w:right w:w="108" w:type="dxa"/>
          </w:tblCellMar>
        </w:tblPrEx>
        <w:trPr>
          <w:trHeight w:val="465" w:hRule="atLeast"/>
          <w:jc w:val="center"/>
        </w:trPr>
        <w:tc>
          <w:tcPr>
            <w:tcW w:w="9180" w:type="dxa"/>
            <w:gridSpan w:val="15"/>
            <w:tcBorders>
              <w:top w:val="nil"/>
              <w:bottom w:val="single" w:color="auto" w:sz="12" w:space="0"/>
              <w:right w:val="nil"/>
            </w:tcBorders>
            <w:vAlign w:val="center"/>
          </w:tcPr>
          <w:p>
            <w:pPr>
              <w:widowControl/>
              <w:spacing w:beforeLines="50" w:afterLines="50"/>
              <w:jc w:val="center"/>
              <w:rPr>
                <w:rFonts w:ascii="Times New Roman" w:hAnsi="Times New Roman"/>
                <w:b/>
                <w:kern w:val="0"/>
                <w:sz w:val="24"/>
                <w:szCs w:val="24"/>
              </w:rPr>
            </w:pPr>
            <w:r>
              <w:rPr>
                <w:rFonts w:ascii="Times New Roman" w:hAnsi="Times New Roman"/>
                <w:b/>
                <w:kern w:val="0"/>
              </w:rPr>
              <w:t>表1  煤炭行业从业人员和人才分布情况表（按省份）</w:t>
            </w:r>
          </w:p>
        </w:tc>
      </w:tr>
      <w:tr>
        <w:tblPrEx>
          <w:tblCellMar>
            <w:top w:w="0" w:type="dxa"/>
            <w:left w:w="108" w:type="dxa"/>
            <w:bottom w:w="0" w:type="dxa"/>
            <w:right w:w="108" w:type="dxa"/>
          </w:tblCellMar>
        </w:tblPrEx>
        <w:trPr>
          <w:trHeight w:val="599" w:hRule="atLeast"/>
          <w:jc w:val="center"/>
        </w:trPr>
        <w:tc>
          <w:tcPr>
            <w:tcW w:w="1080" w:type="dxa"/>
            <w:tcBorders>
              <w:top w:val="single" w:color="auto" w:sz="12" w:space="0"/>
              <w:bottom w:val="single" w:color="auto" w:sz="4" w:space="0"/>
              <w:right w:val="single" w:color="auto" w:sz="4" w:space="0"/>
            </w:tcBorders>
            <w:vAlign w:val="center"/>
          </w:tcPr>
          <w:p>
            <w:pPr>
              <w:widowControl/>
              <w:jc w:val="left"/>
              <w:rPr>
                <w:rFonts w:ascii="Times New Roman" w:hAnsi="Times New Roman"/>
                <w:kern w:val="0"/>
                <w:sz w:val="18"/>
                <w:szCs w:val="18"/>
              </w:rPr>
            </w:pPr>
            <w:r>
              <w:rPr>
                <w:rFonts w:ascii="Times New Roman" w:hAnsi="Times New Roman"/>
                <w:kern w:val="0"/>
                <w:sz w:val="18"/>
                <w:szCs w:val="18"/>
              </w:rPr>
              <w:t>　</w:t>
            </w:r>
          </w:p>
        </w:tc>
        <w:tc>
          <w:tcPr>
            <w:tcW w:w="900" w:type="dxa"/>
            <w:tcBorders>
              <w:top w:val="single" w:color="auto" w:sz="12" w:space="0"/>
              <w:left w:val="nil"/>
              <w:bottom w:val="single" w:color="auto" w:sz="4" w:space="0"/>
              <w:right w:val="single" w:color="auto" w:sz="4" w:space="0"/>
            </w:tcBorders>
            <w:vAlign w:val="center"/>
          </w:tcPr>
          <w:p>
            <w:pPr>
              <w:widowControl/>
              <w:spacing w:line="240" w:lineRule="exact"/>
              <w:jc w:val="center"/>
              <w:rPr>
                <w:rFonts w:ascii="Times New Roman" w:hAnsi="Times New Roman"/>
                <w:kern w:val="0"/>
                <w:sz w:val="18"/>
                <w:szCs w:val="18"/>
              </w:rPr>
            </w:pPr>
            <w:r>
              <w:rPr>
                <w:rFonts w:ascii="Times New Roman" w:hAnsi="Times New Roman"/>
                <w:kern w:val="0"/>
                <w:sz w:val="18"/>
                <w:szCs w:val="18"/>
              </w:rPr>
              <w:t>从业</w:t>
            </w:r>
          </w:p>
          <w:p>
            <w:pPr>
              <w:widowControl/>
              <w:spacing w:line="240" w:lineRule="exact"/>
              <w:jc w:val="center"/>
              <w:rPr>
                <w:rFonts w:ascii="Times New Roman" w:hAnsi="Times New Roman"/>
                <w:kern w:val="0"/>
                <w:sz w:val="18"/>
                <w:szCs w:val="18"/>
              </w:rPr>
            </w:pPr>
            <w:r>
              <w:rPr>
                <w:rFonts w:ascii="Times New Roman" w:hAnsi="Times New Roman"/>
                <w:kern w:val="0"/>
                <w:sz w:val="18"/>
                <w:szCs w:val="18"/>
              </w:rPr>
              <w:t>人数</w:t>
            </w:r>
          </w:p>
        </w:tc>
        <w:tc>
          <w:tcPr>
            <w:tcW w:w="900" w:type="dxa"/>
            <w:tcBorders>
              <w:top w:val="single" w:color="auto" w:sz="12" w:space="0"/>
              <w:left w:val="nil"/>
              <w:bottom w:val="single" w:color="auto" w:sz="4" w:space="0"/>
              <w:right w:val="single" w:color="auto" w:sz="4" w:space="0"/>
            </w:tcBorders>
            <w:vAlign w:val="center"/>
          </w:tcPr>
          <w:p>
            <w:pPr>
              <w:widowControl/>
              <w:spacing w:line="240" w:lineRule="exact"/>
              <w:jc w:val="center"/>
              <w:rPr>
                <w:rFonts w:ascii="Times New Roman" w:hAnsi="Times New Roman"/>
                <w:kern w:val="0"/>
                <w:sz w:val="18"/>
                <w:szCs w:val="18"/>
              </w:rPr>
            </w:pPr>
            <w:r>
              <w:rPr>
                <w:rFonts w:ascii="Times New Roman" w:hAnsi="Times New Roman"/>
                <w:kern w:val="0"/>
                <w:sz w:val="18"/>
                <w:szCs w:val="18"/>
              </w:rPr>
              <w:t>省从业人数/行业从业人数(%)</w:t>
            </w:r>
          </w:p>
        </w:tc>
        <w:tc>
          <w:tcPr>
            <w:tcW w:w="900" w:type="dxa"/>
            <w:gridSpan w:val="2"/>
            <w:tcBorders>
              <w:top w:val="single" w:color="auto" w:sz="12" w:space="0"/>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人才数</w:t>
            </w:r>
          </w:p>
        </w:tc>
        <w:tc>
          <w:tcPr>
            <w:tcW w:w="900" w:type="dxa"/>
            <w:gridSpan w:val="2"/>
            <w:tcBorders>
              <w:top w:val="single" w:color="auto" w:sz="12" w:space="0"/>
              <w:left w:val="nil"/>
              <w:bottom w:val="single" w:color="auto" w:sz="4" w:space="0"/>
              <w:right w:val="single" w:color="auto" w:sz="4" w:space="0"/>
            </w:tcBorders>
            <w:vAlign w:val="center"/>
          </w:tcPr>
          <w:p>
            <w:pPr>
              <w:widowControl/>
              <w:spacing w:line="240" w:lineRule="exact"/>
              <w:jc w:val="center"/>
              <w:rPr>
                <w:rFonts w:ascii="Times New Roman" w:hAnsi="Times New Roman"/>
                <w:kern w:val="0"/>
                <w:sz w:val="18"/>
                <w:szCs w:val="18"/>
              </w:rPr>
            </w:pPr>
            <w:r>
              <w:rPr>
                <w:rFonts w:ascii="Times New Roman" w:hAnsi="Times New Roman"/>
                <w:kern w:val="0"/>
                <w:sz w:val="18"/>
                <w:szCs w:val="18"/>
              </w:rPr>
              <w:t>省人才数/省从业人数(%)</w:t>
            </w:r>
          </w:p>
        </w:tc>
        <w:tc>
          <w:tcPr>
            <w:tcW w:w="900" w:type="dxa"/>
            <w:gridSpan w:val="2"/>
            <w:tcBorders>
              <w:top w:val="single" w:color="auto" w:sz="12" w:space="0"/>
              <w:left w:val="nil"/>
              <w:bottom w:val="single" w:color="auto" w:sz="4" w:space="0"/>
              <w:right w:val="single" w:color="auto" w:sz="4" w:space="0"/>
            </w:tcBorders>
            <w:vAlign w:val="bottom"/>
          </w:tcPr>
          <w:p>
            <w:pPr>
              <w:widowControl/>
              <w:jc w:val="left"/>
              <w:rPr>
                <w:rFonts w:ascii="Times New Roman" w:hAnsi="Times New Roman"/>
                <w:b/>
                <w:bCs/>
                <w:kern w:val="0"/>
                <w:sz w:val="18"/>
                <w:szCs w:val="18"/>
              </w:rPr>
            </w:pPr>
            <w:r>
              <w:rPr>
                <w:rFonts w:ascii="Times New Roman" w:hAnsi="Times New Roman"/>
                <w:b/>
                <w:bCs/>
                <w:kern w:val="0"/>
                <w:sz w:val="18"/>
                <w:szCs w:val="18"/>
              </w:rPr>
              <w:t>　</w:t>
            </w:r>
          </w:p>
        </w:tc>
        <w:tc>
          <w:tcPr>
            <w:tcW w:w="900" w:type="dxa"/>
            <w:gridSpan w:val="2"/>
            <w:tcBorders>
              <w:top w:val="single" w:color="auto" w:sz="12" w:space="0"/>
              <w:left w:val="nil"/>
              <w:bottom w:val="single" w:color="auto" w:sz="4" w:space="0"/>
              <w:right w:val="single" w:color="auto" w:sz="4" w:space="0"/>
            </w:tcBorders>
            <w:vAlign w:val="center"/>
          </w:tcPr>
          <w:p>
            <w:pPr>
              <w:widowControl/>
              <w:spacing w:line="240" w:lineRule="exact"/>
              <w:jc w:val="center"/>
              <w:rPr>
                <w:rFonts w:ascii="Times New Roman" w:hAnsi="Times New Roman"/>
                <w:kern w:val="0"/>
                <w:sz w:val="18"/>
                <w:szCs w:val="18"/>
              </w:rPr>
            </w:pPr>
            <w:r>
              <w:rPr>
                <w:rFonts w:ascii="Times New Roman" w:hAnsi="Times New Roman"/>
                <w:kern w:val="0"/>
                <w:sz w:val="18"/>
                <w:szCs w:val="18"/>
              </w:rPr>
              <w:t>从业</w:t>
            </w:r>
          </w:p>
          <w:p>
            <w:pPr>
              <w:widowControl/>
              <w:spacing w:line="240" w:lineRule="exact"/>
              <w:jc w:val="center"/>
              <w:rPr>
                <w:rFonts w:ascii="Times New Roman" w:hAnsi="Times New Roman"/>
                <w:kern w:val="0"/>
                <w:sz w:val="18"/>
                <w:szCs w:val="18"/>
              </w:rPr>
            </w:pPr>
            <w:r>
              <w:rPr>
                <w:rFonts w:ascii="Times New Roman" w:hAnsi="Times New Roman"/>
                <w:kern w:val="0"/>
                <w:sz w:val="18"/>
                <w:szCs w:val="18"/>
              </w:rPr>
              <w:t>人数</w:t>
            </w:r>
          </w:p>
        </w:tc>
        <w:tc>
          <w:tcPr>
            <w:tcW w:w="900" w:type="dxa"/>
            <w:tcBorders>
              <w:top w:val="single" w:color="auto" w:sz="12" w:space="0"/>
              <w:left w:val="nil"/>
              <w:bottom w:val="single" w:color="auto" w:sz="4" w:space="0"/>
              <w:right w:val="single" w:color="auto" w:sz="4" w:space="0"/>
            </w:tcBorders>
            <w:vAlign w:val="center"/>
          </w:tcPr>
          <w:p>
            <w:pPr>
              <w:widowControl/>
              <w:spacing w:line="240" w:lineRule="exact"/>
              <w:jc w:val="center"/>
              <w:rPr>
                <w:rFonts w:ascii="Times New Roman" w:hAnsi="Times New Roman"/>
                <w:kern w:val="0"/>
                <w:sz w:val="18"/>
                <w:szCs w:val="18"/>
              </w:rPr>
            </w:pPr>
            <w:r>
              <w:rPr>
                <w:rFonts w:ascii="Times New Roman" w:hAnsi="Times New Roman"/>
                <w:kern w:val="0"/>
                <w:sz w:val="18"/>
                <w:szCs w:val="18"/>
              </w:rPr>
              <w:t>省从业人数/行业从业人数(%)</w:t>
            </w:r>
          </w:p>
        </w:tc>
        <w:tc>
          <w:tcPr>
            <w:tcW w:w="900" w:type="dxa"/>
            <w:tcBorders>
              <w:top w:val="single" w:color="auto" w:sz="12" w:space="0"/>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人才数</w:t>
            </w:r>
          </w:p>
        </w:tc>
        <w:tc>
          <w:tcPr>
            <w:tcW w:w="900" w:type="dxa"/>
            <w:gridSpan w:val="2"/>
            <w:tcBorders>
              <w:top w:val="single" w:color="auto" w:sz="12" w:space="0"/>
              <w:left w:val="nil"/>
              <w:bottom w:val="single" w:color="auto" w:sz="4" w:space="0"/>
            </w:tcBorders>
            <w:vAlign w:val="center"/>
          </w:tcPr>
          <w:p>
            <w:pPr>
              <w:widowControl/>
              <w:spacing w:line="240" w:lineRule="exact"/>
              <w:jc w:val="center"/>
              <w:rPr>
                <w:rFonts w:ascii="Times New Roman" w:hAnsi="Times New Roman"/>
                <w:kern w:val="0"/>
                <w:sz w:val="18"/>
                <w:szCs w:val="18"/>
              </w:rPr>
            </w:pPr>
            <w:r>
              <w:rPr>
                <w:rFonts w:ascii="Times New Roman" w:hAnsi="Times New Roman"/>
                <w:kern w:val="0"/>
                <w:sz w:val="18"/>
                <w:szCs w:val="18"/>
              </w:rPr>
              <w:t>省人才数/省从业人数(%)</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18"/>
                <w:szCs w:val="18"/>
              </w:rPr>
            </w:pPr>
            <w:r>
              <w:rPr>
                <w:rFonts w:ascii="Times New Roman" w:hAnsi="Times New Roman"/>
                <w:kern w:val="0"/>
                <w:sz w:val="18"/>
                <w:szCs w:val="18"/>
              </w:rPr>
              <w:t>合计</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5270948</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100</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593981</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11.27</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16、河南</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641427</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12.17</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54975</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8.57</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1、北京</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31754</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0.60</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9460</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29.79</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17、湖北</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17970</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0.34</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2550</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14.19</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2、天津</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512</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0.01</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79</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15.43</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18、湖南</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221876</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4.21</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22156</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9.99</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3、河北</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206969</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3.93</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30581</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14.78</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19、广东</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1628</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0.03</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794</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48.77</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4、山西</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1038908</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19.71</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115349</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11.10</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20、广西</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22145</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0.42</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1902</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8.59</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5、内蒙古</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191753</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3.64</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30056</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15.67</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21、海南</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0</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0</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6、辽宁</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194322</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3.69</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40645</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20.92</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22、重庆</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175422</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3.33</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11167</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6.37</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7、吉林</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76298</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1.45</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8423</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11.04</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23、四川</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302967</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5.75</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15675</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5.17</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8、黑龙江</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310892</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5.90</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32895</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10.58</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24、贵州</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290689</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5.51</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21082</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7.25</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9、上海</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1122</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0.02</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318</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28.34</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25、云南</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123769</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2.35</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6421</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5.19</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10、江苏</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109820</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2.08</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15814</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14.40</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26、西藏</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0</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0</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11、浙江</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3466</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0.07</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369</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10.65</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27、陕西</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123506</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2.34</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16027</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12.98</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12、安徽</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308709</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5.86</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46482</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15.06</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28、甘肃</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57999</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1.10</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6711</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11.57</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13、福建</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50130</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0.95</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4897</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9.77</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29、青海</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11794</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0.22</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1207</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10.23</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14、江西</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99877</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1.89</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10692</w:t>
            </w:r>
          </w:p>
        </w:tc>
        <w:tc>
          <w:tcPr>
            <w:tcW w:w="900" w:type="dxa"/>
            <w:gridSpan w:val="2"/>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10.71</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30、宁夏</w:t>
            </w:r>
          </w:p>
        </w:tc>
        <w:tc>
          <w:tcPr>
            <w:tcW w:w="900" w:type="dxa"/>
            <w:gridSpan w:val="2"/>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73156</w:t>
            </w:r>
          </w:p>
        </w:tc>
        <w:tc>
          <w:tcPr>
            <w:tcW w:w="900" w:type="dxa"/>
            <w:tcBorders>
              <w:top w:val="single" w:color="auto" w:sz="4" w:space="0"/>
              <w:left w:val="nil"/>
              <w:bottom w:val="single" w:color="auto" w:sz="4"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1.39</w:t>
            </w:r>
          </w:p>
        </w:tc>
        <w:tc>
          <w:tcPr>
            <w:tcW w:w="900" w:type="dxa"/>
            <w:tcBorders>
              <w:top w:val="single" w:color="auto" w:sz="4" w:space="0"/>
              <w:left w:val="nil"/>
              <w:bottom w:val="single" w:color="auto" w:sz="4"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11101</w:t>
            </w:r>
          </w:p>
        </w:tc>
        <w:tc>
          <w:tcPr>
            <w:tcW w:w="900" w:type="dxa"/>
            <w:gridSpan w:val="2"/>
            <w:tcBorders>
              <w:top w:val="single" w:color="auto" w:sz="4" w:space="0"/>
              <w:left w:val="nil"/>
              <w:bottom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15.17</w:t>
            </w:r>
          </w:p>
        </w:tc>
      </w:tr>
      <w:tr>
        <w:tblPrEx>
          <w:tblCellMar>
            <w:top w:w="0" w:type="dxa"/>
            <w:left w:w="108" w:type="dxa"/>
            <w:bottom w:w="0" w:type="dxa"/>
            <w:right w:w="108" w:type="dxa"/>
          </w:tblCellMar>
        </w:tblPrEx>
        <w:trPr>
          <w:trHeight w:val="255" w:hRule="atLeast"/>
          <w:jc w:val="center"/>
        </w:trPr>
        <w:tc>
          <w:tcPr>
            <w:tcW w:w="1080" w:type="dxa"/>
            <w:tcBorders>
              <w:top w:val="single" w:color="auto" w:sz="4" w:space="0"/>
              <w:bottom w:val="single" w:color="auto" w:sz="12"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15、山东</w:t>
            </w:r>
          </w:p>
        </w:tc>
        <w:tc>
          <w:tcPr>
            <w:tcW w:w="900" w:type="dxa"/>
            <w:tcBorders>
              <w:top w:val="single" w:color="auto" w:sz="4" w:space="0"/>
              <w:left w:val="nil"/>
              <w:bottom w:val="single" w:color="auto" w:sz="12"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514647</w:t>
            </w:r>
          </w:p>
        </w:tc>
        <w:tc>
          <w:tcPr>
            <w:tcW w:w="900" w:type="dxa"/>
            <w:tcBorders>
              <w:top w:val="single" w:color="auto" w:sz="4" w:space="0"/>
              <w:left w:val="nil"/>
              <w:bottom w:val="single" w:color="auto" w:sz="12"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9.76</w:t>
            </w:r>
          </w:p>
        </w:tc>
        <w:tc>
          <w:tcPr>
            <w:tcW w:w="900" w:type="dxa"/>
            <w:gridSpan w:val="2"/>
            <w:tcBorders>
              <w:top w:val="single" w:color="auto" w:sz="4" w:space="0"/>
              <w:left w:val="nil"/>
              <w:bottom w:val="single" w:color="auto" w:sz="12"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67490</w:t>
            </w:r>
          </w:p>
        </w:tc>
        <w:tc>
          <w:tcPr>
            <w:tcW w:w="900" w:type="dxa"/>
            <w:gridSpan w:val="2"/>
            <w:tcBorders>
              <w:top w:val="single" w:color="auto" w:sz="4" w:space="0"/>
              <w:left w:val="nil"/>
              <w:bottom w:val="single" w:color="auto" w:sz="12"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13.11</w:t>
            </w:r>
          </w:p>
        </w:tc>
        <w:tc>
          <w:tcPr>
            <w:tcW w:w="900" w:type="dxa"/>
            <w:gridSpan w:val="2"/>
            <w:tcBorders>
              <w:top w:val="single" w:color="auto" w:sz="4" w:space="0"/>
              <w:left w:val="nil"/>
              <w:bottom w:val="single" w:color="auto" w:sz="12" w:space="0"/>
              <w:right w:val="single" w:color="auto" w:sz="4" w:space="0"/>
            </w:tcBorders>
            <w:shd w:val="clear" w:color="auto" w:fill="auto"/>
            <w:vAlign w:val="center"/>
          </w:tcPr>
          <w:p>
            <w:pPr>
              <w:widowControl/>
              <w:jc w:val="left"/>
              <w:rPr>
                <w:rFonts w:ascii="Times New Roman" w:hAnsi="Times New Roman"/>
                <w:kern w:val="0"/>
                <w:sz w:val="18"/>
                <w:szCs w:val="18"/>
              </w:rPr>
            </w:pPr>
            <w:r>
              <w:rPr>
                <w:rFonts w:ascii="Times New Roman" w:hAnsi="Times New Roman"/>
                <w:kern w:val="0"/>
                <w:sz w:val="18"/>
                <w:szCs w:val="18"/>
              </w:rPr>
              <w:t>31、新疆</w:t>
            </w:r>
          </w:p>
        </w:tc>
        <w:tc>
          <w:tcPr>
            <w:tcW w:w="900" w:type="dxa"/>
            <w:gridSpan w:val="2"/>
            <w:tcBorders>
              <w:top w:val="single" w:color="auto" w:sz="4" w:space="0"/>
              <w:left w:val="nil"/>
              <w:bottom w:val="single" w:color="auto" w:sz="12"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67421</w:t>
            </w:r>
          </w:p>
        </w:tc>
        <w:tc>
          <w:tcPr>
            <w:tcW w:w="900" w:type="dxa"/>
            <w:tcBorders>
              <w:top w:val="single" w:color="auto" w:sz="4" w:space="0"/>
              <w:left w:val="nil"/>
              <w:bottom w:val="single" w:color="auto" w:sz="12" w:space="0"/>
              <w:right w:val="single" w:color="auto" w:sz="4"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1.28</w:t>
            </w:r>
          </w:p>
        </w:tc>
        <w:tc>
          <w:tcPr>
            <w:tcW w:w="900" w:type="dxa"/>
            <w:tcBorders>
              <w:top w:val="single" w:color="auto" w:sz="4" w:space="0"/>
              <w:left w:val="nil"/>
              <w:bottom w:val="single" w:color="auto" w:sz="12" w:space="0"/>
              <w:right w:val="single" w:color="auto" w:sz="4" w:space="0"/>
            </w:tcBorders>
            <w:shd w:val="clear" w:color="auto" w:fill="FFFF99"/>
            <w:vAlign w:val="center"/>
          </w:tcPr>
          <w:p>
            <w:pPr>
              <w:widowControl/>
              <w:jc w:val="right"/>
              <w:rPr>
                <w:rFonts w:ascii="Times New Roman" w:hAnsi="Times New Roman"/>
                <w:kern w:val="0"/>
                <w:sz w:val="18"/>
                <w:szCs w:val="18"/>
              </w:rPr>
            </w:pPr>
            <w:r>
              <w:rPr>
                <w:rFonts w:ascii="Times New Roman" w:hAnsi="Times New Roman"/>
                <w:kern w:val="0"/>
                <w:sz w:val="18"/>
                <w:szCs w:val="18"/>
              </w:rPr>
              <w:t>8663</w:t>
            </w:r>
          </w:p>
        </w:tc>
        <w:tc>
          <w:tcPr>
            <w:tcW w:w="900" w:type="dxa"/>
            <w:gridSpan w:val="2"/>
            <w:tcBorders>
              <w:top w:val="single" w:color="auto" w:sz="4" w:space="0"/>
              <w:left w:val="nil"/>
              <w:bottom w:val="single" w:color="auto" w:sz="12" w:space="0"/>
            </w:tcBorders>
            <w:shd w:val="clear" w:color="auto" w:fill="99CC00"/>
            <w:vAlign w:val="center"/>
          </w:tcPr>
          <w:p>
            <w:pPr>
              <w:widowControl/>
              <w:jc w:val="right"/>
              <w:rPr>
                <w:rFonts w:ascii="Times New Roman" w:hAnsi="Times New Roman"/>
                <w:kern w:val="0"/>
                <w:sz w:val="18"/>
                <w:szCs w:val="18"/>
              </w:rPr>
            </w:pPr>
            <w:r>
              <w:rPr>
                <w:rFonts w:ascii="Times New Roman" w:hAnsi="Times New Roman"/>
                <w:kern w:val="0"/>
                <w:sz w:val="18"/>
                <w:szCs w:val="18"/>
              </w:rPr>
              <w:t>12.85</w:t>
            </w:r>
          </w:p>
        </w:tc>
      </w:tr>
      <w:tr>
        <w:tblPrEx>
          <w:tblCellMar>
            <w:top w:w="0" w:type="dxa"/>
            <w:left w:w="108" w:type="dxa"/>
            <w:bottom w:w="0" w:type="dxa"/>
            <w:right w:w="108" w:type="dxa"/>
          </w:tblCellMar>
        </w:tblPrEx>
        <w:trPr>
          <w:trHeight w:val="916" w:hRule="atLeast"/>
          <w:jc w:val="center"/>
        </w:trPr>
        <w:tc>
          <w:tcPr>
            <w:tcW w:w="9180" w:type="dxa"/>
            <w:gridSpan w:val="15"/>
            <w:tcBorders>
              <w:top w:val="single" w:color="auto" w:sz="12" w:space="0"/>
            </w:tcBorders>
            <w:vAlign w:val="center"/>
          </w:tcPr>
          <w:p>
            <w:pPr>
              <w:widowControl/>
              <w:rPr>
                <w:rFonts w:ascii="Times New Roman" w:hAnsi="Times New Roman"/>
                <w:kern w:val="0"/>
              </w:rPr>
            </w:pPr>
          </w:p>
          <w:p>
            <w:pPr>
              <w:widowControl/>
              <w:rPr>
                <w:rFonts w:ascii="Times New Roman" w:hAnsi="Times New Roman"/>
                <w:kern w:val="0"/>
              </w:rPr>
            </w:pPr>
            <w:r>
              <w:rPr>
                <w:rFonts w:ascii="Times New Roman" w:hAnsi="Times New Roman"/>
                <w:kern w:val="0"/>
              </w:rPr>
              <w:t>注：天津、上海、广东、海南和西藏为非产煤省份。其中，天津、上海和广东煤炭从业人员数据来源为中央企业。</w:t>
            </w:r>
          </w:p>
        </w:tc>
      </w:tr>
      <w:tr>
        <w:tblPrEx>
          <w:tblCellMar>
            <w:top w:w="0" w:type="dxa"/>
            <w:left w:w="108" w:type="dxa"/>
            <w:bottom w:w="0" w:type="dxa"/>
            <w:right w:w="108" w:type="dxa"/>
          </w:tblCellMar>
        </w:tblPrEx>
        <w:trPr>
          <w:gridAfter w:val="1"/>
          <w:wAfter w:w="720" w:type="dxa"/>
          <w:trHeight w:val="680" w:hRule="exact"/>
          <w:jc w:val="center"/>
        </w:trPr>
        <w:tc>
          <w:tcPr>
            <w:tcW w:w="8460" w:type="dxa"/>
            <w:gridSpan w:val="14"/>
            <w:tcBorders>
              <w:top w:val="nil"/>
              <w:left w:val="nil"/>
              <w:bottom w:val="single" w:color="auto" w:sz="12" w:space="0"/>
              <w:right w:val="nil"/>
            </w:tcBorders>
            <w:vAlign w:val="center"/>
          </w:tcPr>
          <w:p>
            <w:pPr>
              <w:widowControl/>
              <w:jc w:val="center"/>
              <w:rPr>
                <w:rFonts w:ascii="Times New Roman" w:hAnsi="Times New Roman"/>
                <w:b/>
                <w:kern w:val="0"/>
              </w:rPr>
            </w:pPr>
            <w:r>
              <w:rPr>
                <w:rFonts w:ascii="Times New Roman" w:hAnsi="Times New Roman"/>
                <w:b/>
                <w:kern w:val="0"/>
              </w:rPr>
              <w:t>表2  煤炭行业从业人员学历分布情况表</w:t>
            </w:r>
          </w:p>
        </w:tc>
      </w:tr>
      <w:tr>
        <w:tblPrEx>
          <w:tblCellMar>
            <w:top w:w="0" w:type="dxa"/>
            <w:left w:w="108" w:type="dxa"/>
            <w:bottom w:w="0" w:type="dxa"/>
            <w:right w:w="108" w:type="dxa"/>
          </w:tblCellMar>
        </w:tblPrEx>
        <w:trPr>
          <w:gridAfter w:val="1"/>
          <w:wAfter w:w="720" w:type="dxa"/>
          <w:trHeight w:val="680" w:hRule="exact"/>
          <w:jc w:val="center"/>
        </w:trPr>
        <w:tc>
          <w:tcPr>
            <w:tcW w:w="1980" w:type="dxa"/>
            <w:gridSpan w:val="2"/>
            <w:tcBorders>
              <w:top w:val="nil"/>
              <w:left w:val="nil"/>
              <w:bottom w:val="single" w:color="auto" w:sz="12" w:space="0"/>
              <w:right w:val="single" w:color="auto" w:sz="8" w:space="0"/>
            </w:tcBorders>
            <w:vAlign w:val="center"/>
          </w:tcPr>
          <w:p>
            <w:pPr>
              <w:widowControl/>
              <w:jc w:val="center"/>
              <w:rPr>
                <w:rFonts w:ascii="Times New Roman" w:hAnsi="Times New Roman"/>
                <w:kern w:val="0"/>
              </w:rPr>
            </w:pPr>
          </w:p>
        </w:tc>
        <w:tc>
          <w:tcPr>
            <w:tcW w:w="1080" w:type="dxa"/>
            <w:gridSpan w:val="2"/>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合计</w:t>
            </w:r>
          </w:p>
        </w:tc>
        <w:tc>
          <w:tcPr>
            <w:tcW w:w="1080" w:type="dxa"/>
            <w:gridSpan w:val="2"/>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博士</w:t>
            </w:r>
          </w:p>
        </w:tc>
        <w:tc>
          <w:tcPr>
            <w:tcW w:w="1080" w:type="dxa"/>
            <w:gridSpan w:val="2"/>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硕士</w:t>
            </w:r>
          </w:p>
        </w:tc>
        <w:tc>
          <w:tcPr>
            <w:tcW w:w="1080" w:type="dxa"/>
            <w:gridSpan w:val="2"/>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本科</w:t>
            </w:r>
          </w:p>
        </w:tc>
        <w:tc>
          <w:tcPr>
            <w:tcW w:w="1080" w:type="dxa"/>
            <w:gridSpan w:val="2"/>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大专</w:t>
            </w:r>
          </w:p>
        </w:tc>
        <w:tc>
          <w:tcPr>
            <w:tcW w:w="1080" w:type="dxa"/>
            <w:gridSpan w:val="2"/>
            <w:tcBorders>
              <w:top w:val="nil"/>
              <w:left w:val="nil"/>
              <w:bottom w:val="single" w:color="auto" w:sz="12" w:space="0"/>
              <w:right w:val="nil"/>
            </w:tcBorders>
            <w:vAlign w:val="center"/>
          </w:tcPr>
          <w:p>
            <w:pPr>
              <w:widowControl/>
              <w:jc w:val="center"/>
              <w:rPr>
                <w:rFonts w:ascii="Times New Roman" w:hAnsi="Times New Roman"/>
                <w:kern w:val="0"/>
              </w:rPr>
            </w:pPr>
            <w:r>
              <w:rPr>
                <w:rFonts w:ascii="Times New Roman" w:hAnsi="Times New Roman"/>
                <w:kern w:val="0"/>
              </w:rPr>
              <w:t>大专以下</w:t>
            </w:r>
          </w:p>
        </w:tc>
      </w:tr>
      <w:tr>
        <w:tblPrEx>
          <w:tblCellMar>
            <w:top w:w="0" w:type="dxa"/>
            <w:left w:w="108" w:type="dxa"/>
            <w:bottom w:w="0" w:type="dxa"/>
            <w:right w:w="108" w:type="dxa"/>
          </w:tblCellMar>
        </w:tblPrEx>
        <w:trPr>
          <w:gridAfter w:val="1"/>
          <w:wAfter w:w="720" w:type="dxa"/>
          <w:trHeight w:val="680" w:hRule="exact"/>
          <w:jc w:val="center"/>
        </w:trPr>
        <w:tc>
          <w:tcPr>
            <w:tcW w:w="1980" w:type="dxa"/>
            <w:gridSpan w:val="2"/>
            <w:tcBorders>
              <w:top w:val="single" w:color="auto" w:sz="12" w:space="0"/>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从业人数</w:t>
            </w:r>
          </w:p>
        </w:tc>
        <w:tc>
          <w:tcPr>
            <w:tcW w:w="1080" w:type="dxa"/>
            <w:gridSpan w:val="2"/>
            <w:tcBorders>
              <w:top w:val="single" w:color="auto" w:sz="12" w:space="0"/>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5270948</w:t>
            </w:r>
          </w:p>
        </w:tc>
        <w:tc>
          <w:tcPr>
            <w:tcW w:w="1080" w:type="dxa"/>
            <w:gridSpan w:val="2"/>
            <w:tcBorders>
              <w:top w:val="single" w:color="auto" w:sz="12" w:space="0"/>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3030</w:t>
            </w:r>
          </w:p>
        </w:tc>
        <w:tc>
          <w:tcPr>
            <w:tcW w:w="1080" w:type="dxa"/>
            <w:gridSpan w:val="2"/>
            <w:tcBorders>
              <w:top w:val="single" w:color="auto" w:sz="12" w:space="0"/>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20490</w:t>
            </w:r>
          </w:p>
        </w:tc>
        <w:tc>
          <w:tcPr>
            <w:tcW w:w="1080" w:type="dxa"/>
            <w:gridSpan w:val="2"/>
            <w:tcBorders>
              <w:top w:val="single" w:color="auto" w:sz="12" w:space="0"/>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300526</w:t>
            </w:r>
          </w:p>
        </w:tc>
        <w:tc>
          <w:tcPr>
            <w:tcW w:w="1080" w:type="dxa"/>
            <w:gridSpan w:val="2"/>
            <w:tcBorders>
              <w:top w:val="single" w:color="auto" w:sz="12" w:space="0"/>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565203</w:t>
            </w:r>
          </w:p>
        </w:tc>
        <w:tc>
          <w:tcPr>
            <w:tcW w:w="1080" w:type="dxa"/>
            <w:gridSpan w:val="2"/>
            <w:tcBorders>
              <w:top w:val="single" w:color="auto" w:sz="12" w:space="0"/>
              <w:left w:val="nil"/>
              <w:bottom w:val="single" w:color="auto" w:sz="8" w:space="0"/>
              <w:right w:val="nil"/>
            </w:tcBorders>
            <w:vAlign w:val="center"/>
          </w:tcPr>
          <w:p>
            <w:pPr>
              <w:widowControl/>
              <w:jc w:val="center"/>
              <w:rPr>
                <w:rFonts w:ascii="Times New Roman" w:hAnsi="Times New Roman"/>
                <w:kern w:val="0"/>
              </w:rPr>
            </w:pPr>
            <w:r>
              <w:rPr>
                <w:rFonts w:ascii="Times New Roman" w:hAnsi="Times New Roman"/>
                <w:kern w:val="0"/>
              </w:rPr>
              <w:t>4381699</w:t>
            </w:r>
          </w:p>
        </w:tc>
      </w:tr>
      <w:tr>
        <w:tblPrEx>
          <w:tblCellMar>
            <w:top w:w="0" w:type="dxa"/>
            <w:left w:w="108" w:type="dxa"/>
            <w:bottom w:w="0" w:type="dxa"/>
            <w:right w:w="108" w:type="dxa"/>
          </w:tblCellMar>
        </w:tblPrEx>
        <w:trPr>
          <w:gridAfter w:val="1"/>
          <w:wAfter w:w="720" w:type="dxa"/>
          <w:trHeight w:val="1425" w:hRule="exact"/>
          <w:jc w:val="center"/>
        </w:trPr>
        <w:tc>
          <w:tcPr>
            <w:tcW w:w="1980" w:type="dxa"/>
            <w:gridSpan w:val="2"/>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各学历层次人数/从业人数（%）</w:t>
            </w:r>
          </w:p>
        </w:tc>
        <w:tc>
          <w:tcPr>
            <w:tcW w:w="1080" w:type="dxa"/>
            <w:gridSpan w:val="2"/>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100</w:t>
            </w:r>
          </w:p>
        </w:tc>
        <w:tc>
          <w:tcPr>
            <w:tcW w:w="1080" w:type="dxa"/>
            <w:gridSpan w:val="2"/>
            <w:tcBorders>
              <w:top w:val="single" w:color="auto" w:sz="8" w:space="0"/>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0.06</w:t>
            </w:r>
          </w:p>
        </w:tc>
        <w:tc>
          <w:tcPr>
            <w:tcW w:w="1080" w:type="dxa"/>
            <w:gridSpan w:val="2"/>
            <w:tcBorders>
              <w:top w:val="single" w:color="auto" w:sz="8" w:space="0"/>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0.39</w:t>
            </w:r>
          </w:p>
        </w:tc>
        <w:tc>
          <w:tcPr>
            <w:tcW w:w="1080" w:type="dxa"/>
            <w:gridSpan w:val="2"/>
            <w:tcBorders>
              <w:top w:val="single" w:color="auto" w:sz="8" w:space="0"/>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5.70</w:t>
            </w:r>
          </w:p>
        </w:tc>
        <w:tc>
          <w:tcPr>
            <w:tcW w:w="1080" w:type="dxa"/>
            <w:gridSpan w:val="2"/>
            <w:tcBorders>
              <w:top w:val="single" w:color="auto" w:sz="8" w:space="0"/>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10.72</w:t>
            </w:r>
          </w:p>
        </w:tc>
        <w:tc>
          <w:tcPr>
            <w:tcW w:w="1080" w:type="dxa"/>
            <w:gridSpan w:val="2"/>
            <w:tcBorders>
              <w:top w:val="single" w:color="auto" w:sz="8" w:space="0"/>
              <w:left w:val="nil"/>
              <w:bottom w:val="single" w:color="auto" w:sz="12" w:space="0"/>
              <w:right w:val="nil"/>
            </w:tcBorders>
            <w:vAlign w:val="center"/>
          </w:tcPr>
          <w:p>
            <w:pPr>
              <w:widowControl/>
              <w:jc w:val="center"/>
              <w:rPr>
                <w:rFonts w:ascii="Times New Roman" w:hAnsi="Times New Roman"/>
                <w:kern w:val="0"/>
              </w:rPr>
            </w:pPr>
            <w:r>
              <w:rPr>
                <w:rFonts w:ascii="Times New Roman" w:hAnsi="Times New Roman"/>
                <w:kern w:val="0"/>
              </w:rPr>
              <w:t>83.13</w:t>
            </w:r>
          </w:p>
        </w:tc>
      </w:tr>
    </w:tbl>
    <w:p>
      <w:pPr>
        <w:rPr>
          <w:rFonts w:ascii="Times New Roman" w:hAnsi="Times New Roman"/>
          <w:kern w:val="0"/>
        </w:rPr>
      </w:pPr>
    </w:p>
    <w:p>
      <w:pPr>
        <w:rPr>
          <w:rFonts w:ascii="Times New Roman" w:hAnsi="Times New Roman"/>
          <w:kern w:val="0"/>
        </w:rPr>
      </w:pPr>
    </w:p>
    <w:p>
      <w:pPr>
        <w:rPr>
          <w:rFonts w:ascii="Times New Roman" w:hAnsi="Times New Roman"/>
          <w:kern w:val="0"/>
        </w:rPr>
      </w:pPr>
    </w:p>
    <w:p>
      <w:pPr>
        <w:rPr>
          <w:rFonts w:ascii="Times New Roman" w:hAnsi="Times New Roman"/>
          <w:kern w:val="0"/>
        </w:rPr>
      </w:pPr>
    </w:p>
    <w:p>
      <w:pPr>
        <w:rPr>
          <w:rFonts w:ascii="Times New Roman" w:hAnsi="Times New Roman"/>
          <w:kern w:val="0"/>
        </w:rPr>
      </w:pPr>
    </w:p>
    <w:p>
      <w:pPr>
        <w:rPr>
          <w:rFonts w:ascii="Times New Roman" w:hAnsi="Times New Roman"/>
          <w:kern w:val="0"/>
        </w:rPr>
      </w:pPr>
    </w:p>
    <w:tbl>
      <w:tblPr>
        <w:tblStyle w:val="21"/>
        <w:tblpPr w:leftFromText="180" w:rightFromText="180" w:vertAnchor="text" w:horzAnchor="margin" w:tblpXSpec="center" w:tblpY="152"/>
        <w:tblW w:w="8813" w:type="dxa"/>
        <w:tblInd w:w="0" w:type="dxa"/>
        <w:tblLayout w:type="fixed"/>
        <w:tblCellMar>
          <w:top w:w="0" w:type="dxa"/>
          <w:left w:w="108" w:type="dxa"/>
          <w:bottom w:w="0" w:type="dxa"/>
          <w:right w:w="108" w:type="dxa"/>
        </w:tblCellMar>
      </w:tblPr>
      <w:tblGrid>
        <w:gridCol w:w="2030"/>
        <w:gridCol w:w="1111"/>
        <w:gridCol w:w="1006"/>
        <w:gridCol w:w="1006"/>
        <w:gridCol w:w="1026"/>
        <w:gridCol w:w="1026"/>
        <w:gridCol w:w="1608"/>
      </w:tblGrid>
      <w:tr>
        <w:tblPrEx>
          <w:tblCellMar>
            <w:top w:w="0" w:type="dxa"/>
            <w:left w:w="108" w:type="dxa"/>
            <w:bottom w:w="0" w:type="dxa"/>
            <w:right w:w="108" w:type="dxa"/>
          </w:tblCellMar>
        </w:tblPrEx>
        <w:trPr>
          <w:trHeight w:val="872" w:hRule="exact"/>
        </w:trPr>
        <w:tc>
          <w:tcPr>
            <w:tcW w:w="8813" w:type="dxa"/>
            <w:gridSpan w:val="7"/>
            <w:tcBorders>
              <w:top w:val="nil"/>
              <w:left w:val="nil"/>
              <w:bottom w:val="single" w:color="auto" w:sz="12" w:space="0"/>
              <w:right w:val="nil"/>
            </w:tcBorders>
            <w:vAlign w:val="center"/>
          </w:tcPr>
          <w:p>
            <w:pPr>
              <w:widowControl/>
              <w:jc w:val="center"/>
              <w:rPr>
                <w:rFonts w:ascii="Times New Roman" w:hAnsi="Times New Roman"/>
                <w:b/>
                <w:kern w:val="0"/>
              </w:rPr>
            </w:pPr>
            <w:r>
              <w:rPr>
                <w:rFonts w:ascii="Times New Roman" w:hAnsi="Times New Roman"/>
                <w:b/>
                <w:kern w:val="0"/>
              </w:rPr>
              <w:t>表3  煤炭行业专业技术人员分布情况表</w:t>
            </w:r>
          </w:p>
        </w:tc>
      </w:tr>
      <w:tr>
        <w:tblPrEx>
          <w:tblCellMar>
            <w:top w:w="0" w:type="dxa"/>
            <w:left w:w="108" w:type="dxa"/>
            <w:bottom w:w="0" w:type="dxa"/>
            <w:right w:w="108" w:type="dxa"/>
          </w:tblCellMar>
        </w:tblPrEx>
        <w:trPr>
          <w:trHeight w:val="872" w:hRule="exact"/>
        </w:trPr>
        <w:tc>
          <w:tcPr>
            <w:tcW w:w="2030" w:type="dxa"/>
            <w:tcBorders>
              <w:top w:val="single" w:color="auto" w:sz="12" w:space="0"/>
              <w:left w:val="nil"/>
              <w:bottom w:val="single" w:color="auto" w:sz="4" w:space="0"/>
              <w:right w:val="single" w:color="auto" w:sz="8" w:space="0"/>
            </w:tcBorders>
            <w:vAlign w:val="center"/>
          </w:tcPr>
          <w:p>
            <w:pPr>
              <w:widowControl/>
              <w:jc w:val="left"/>
              <w:rPr>
                <w:rFonts w:ascii="Times New Roman" w:hAnsi="Times New Roman"/>
                <w:kern w:val="0"/>
              </w:rPr>
            </w:pPr>
            <w:r>
              <w:rPr>
                <w:rFonts w:ascii="Times New Roman" w:hAnsi="Times New Roman"/>
                <w:kern w:val="0"/>
              </w:rPr>
              <w:t>　</w:t>
            </w:r>
          </w:p>
        </w:tc>
        <w:tc>
          <w:tcPr>
            <w:tcW w:w="1111" w:type="dxa"/>
            <w:tcBorders>
              <w:top w:val="single" w:color="auto" w:sz="12" w:space="0"/>
              <w:left w:val="nil"/>
              <w:bottom w:val="single" w:color="auto" w:sz="4"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合计</w:t>
            </w:r>
          </w:p>
        </w:tc>
        <w:tc>
          <w:tcPr>
            <w:tcW w:w="1006" w:type="dxa"/>
            <w:tcBorders>
              <w:top w:val="single" w:color="auto" w:sz="12" w:space="0"/>
              <w:left w:val="nil"/>
              <w:bottom w:val="single" w:color="auto" w:sz="4"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正高级</w:t>
            </w:r>
          </w:p>
        </w:tc>
        <w:tc>
          <w:tcPr>
            <w:tcW w:w="1006" w:type="dxa"/>
            <w:tcBorders>
              <w:top w:val="single" w:color="auto" w:sz="12" w:space="0"/>
              <w:left w:val="nil"/>
              <w:bottom w:val="single" w:color="auto" w:sz="4"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副高级</w:t>
            </w:r>
          </w:p>
        </w:tc>
        <w:tc>
          <w:tcPr>
            <w:tcW w:w="1026" w:type="dxa"/>
            <w:tcBorders>
              <w:top w:val="single" w:color="auto" w:sz="12" w:space="0"/>
              <w:left w:val="nil"/>
              <w:bottom w:val="single" w:color="auto" w:sz="4"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中级</w:t>
            </w:r>
          </w:p>
        </w:tc>
        <w:tc>
          <w:tcPr>
            <w:tcW w:w="1026" w:type="dxa"/>
            <w:tcBorders>
              <w:top w:val="single" w:color="auto" w:sz="12" w:space="0"/>
              <w:left w:val="nil"/>
              <w:bottom w:val="single" w:color="auto" w:sz="4"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初级</w:t>
            </w:r>
          </w:p>
        </w:tc>
        <w:tc>
          <w:tcPr>
            <w:tcW w:w="1607" w:type="dxa"/>
            <w:tcBorders>
              <w:top w:val="single" w:color="auto" w:sz="12" w:space="0"/>
              <w:left w:val="nil"/>
              <w:bottom w:val="single" w:color="auto" w:sz="4" w:space="0"/>
              <w:right w:val="nil"/>
            </w:tcBorders>
            <w:vAlign w:val="center"/>
          </w:tcPr>
          <w:p>
            <w:pPr>
              <w:widowControl/>
              <w:jc w:val="center"/>
              <w:rPr>
                <w:rFonts w:ascii="Times New Roman" w:hAnsi="Times New Roman"/>
                <w:kern w:val="0"/>
              </w:rPr>
            </w:pPr>
            <w:r>
              <w:rPr>
                <w:rFonts w:ascii="Times New Roman" w:hAnsi="Times New Roman"/>
                <w:kern w:val="0"/>
              </w:rPr>
              <w:t>未聘任专业技术职称</w:t>
            </w:r>
          </w:p>
        </w:tc>
      </w:tr>
      <w:tr>
        <w:tblPrEx>
          <w:tblCellMar>
            <w:top w:w="0" w:type="dxa"/>
            <w:left w:w="108" w:type="dxa"/>
            <w:bottom w:w="0" w:type="dxa"/>
            <w:right w:w="108" w:type="dxa"/>
          </w:tblCellMar>
        </w:tblPrEx>
        <w:trPr>
          <w:trHeight w:val="872" w:hRule="exact"/>
        </w:trPr>
        <w:tc>
          <w:tcPr>
            <w:tcW w:w="2030" w:type="dxa"/>
            <w:tcBorders>
              <w:top w:val="single" w:color="auto" w:sz="4" w:space="0"/>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从业人数</w:t>
            </w:r>
          </w:p>
        </w:tc>
        <w:tc>
          <w:tcPr>
            <w:tcW w:w="1111" w:type="dxa"/>
            <w:tcBorders>
              <w:top w:val="single" w:color="auto" w:sz="4" w:space="0"/>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495834</w:t>
            </w:r>
          </w:p>
        </w:tc>
        <w:tc>
          <w:tcPr>
            <w:tcW w:w="1006" w:type="dxa"/>
            <w:tcBorders>
              <w:top w:val="single" w:color="auto" w:sz="4" w:space="0"/>
              <w:left w:val="nil"/>
              <w:bottom w:val="single" w:color="auto" w:sz="8" w:space="0"/>
              <w:right w:val="single" w:color="auto" w:sz="4" w:space="0"/>
            </w:tcBorders>
            <w:vAlign w:val="center"/>
          </w:tcPr>
          <w:p>
            <w:pPr>
              <w:widowControl/>
              <w:jc w:val="center"/>
              <w:rPr>
                <w:rFonts w:ascii="Times New Roman" w:hAnsi="Times New Roman"/>
                <w:kern w:val="0"/>
              </w:rPr>
            </w:pPr>
            <w:r>
              <w:rPr>
                <w:rFonts w:ascii="Times New Roman" w:hAnsi="Times New Roman"/>
                <w:kern w:val="0"/>
              </w:rPr>
              <w:t>3688</w:t>
            </w:r>
          </w:p>
        </w:tc>
        <w:tc>
          <w:tcPr>
            <w:tcW w:w="1006" w:type="dxa"/>
            <w:tcBorders>
              <w:top w:val="single" w:color="auto" w:sz="4" w:space="0"/>
              <w:left w:val="single" w:color="auto" w:sz="4" w:space="0"/>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41326</w:t>
            </w:r>
          </w:p>
        </w:tc>
        <w:tc>
          <w:tcPr>
            <w:tcW w:w="1026" w:type="dxa"/>
            <w:tcBorders>
              <w:top w:val="single" w:color="auto" w:sz="4" w:space="0"/>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131096</w:t>
            </w:r>
          </w:p>
        </w:tc>
        <w:tc>
          <w:tcPr>
            <w:tcW w:w="1026" w:type="dxa"/>
            <w:tcBorders>
              <w:top w:val="single" w:color="auto" w:sz="4" w:space="0"/>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222783</w:t>
            </w:r>
          </w:p>
        </w:tc>
        <w:tc>
          <w:tcPr>
            <w:tcW w:w="1607" w:type="dxa"/>
            <w:tcBorders>
              <w:top w:val="single" w:color="auto" w:sz="4" w:space="0"/>
              <w:left w:val="nil"/>
              <w:bottom w:val="single" w:color="auto" w:sz="8" w:space="0"/>
              <w:right w:val="nil"/>
            </w:tcBorders>
            <w:vAlign w:val="center"/>
          </w:tcPr>
          <w:p>
            <w:pPr>
              <w:widowControl/>
              <w:jc w:val="center"/>
              <w:rPr>
                <w:rFonts w:ascii="Times New Roman" w:hAnsi="Times New Roman"/>
                <w:kern w:val="0"/>
              </w:rPr>
            </w:pPr>
            <w:r>
              <w:rPr>
                <w:rFonts w:ascii="Times New Roman" w:hAnsi="Times New Roman"/>
                <w:kern w:val="0"/>
              </w:rPr>
              <w:t>96941</w:t>
            </w:r>
          </w:p>
        </w:tc>
      </w:tr>
      <w:tr>
        <w:tblPrEx>
          <w:tblCellMar>
            <w:top w:w="0" w:type="dxa"/>
            <w:left w:w="108" w:type="dxa"/>
            <w:bottom w:w="0" w:type="dxa"/>
            <w:right w:w="108" w:type="dxa"/>
          </w:tblCellMar>
        </w:tblPrEx>
        <w:trPr>
          <w:trHeight w:val="872" w:hRule="exact"/>
        </w:trPr>
        <w:tc>
          <w:tcPr>
            <w:tcW w:w="2030" w:type="dxa"/>
            <w:tcBorders>
              <w:top w:val="single" w:color="auto" w:sz="8" w:space="0"/>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各类人数/专业技术人员人员总数（%）</w:t>
            </w:r>
          </w:p>
        </w:tc>
        <w:tc>
          <w:tcPr>
            <w:tcW w:w="1111" w:type="dxa"/>
            <w:tcBorders>
              <w:top w:val="single" w:color="auto" w:sz="8" w:space="0"/>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100</w:t>
            </w:r>
          </w:p>
        </w:tc>
        <w:tc>
          <w:tcPr>
            <w:tcW w:w="1006" w:type="dxa"/>
            <w:tcBorders>
              <w:top w:val="single" w:color="auto" w:sz="8" w:space="0"/>
              <w:left w:val="nil"/>
              <w:bottom w:val="single" w:color="auto" w:sz="12" w:space="0"/>
              <w:right w:val="single" w:color="auto" w:sz="4" w:space="0"/>
            </w:tcBorders>
            <w:vAlign w:val="center"/>
          </w:tcPr>
          <w:p>
            <w:pPr>
              <w:widowControl/>
              <w:jc w:val="center"/>
              <w:rPr>
                <w:rFonts w:ascii="Times New Roman" w:hAnsi="Times New Roman"/>
                <w:kern w:val="0"/>
              </w:rPr>
            </w:pPr>
            <w:r>
              <w:rPr>
                <w:rFonts w:ascii="Times New Roman" w:hAnsi="Times New Roman"/>
                <w:kern w:val="0"/>
              </w:rPr>
              <w:t>0.74</w:t>
            </w:r>
          </w:p>
        </w:tc>
        <w:tc>
          <w:tcPr>
            <w:tcW w:w="1006" w:type="dxa"/>
            <w:tcBorders>
              <w:top w:val="single" w:color="auto" w:sz="8" w:space="0"/>
              <w:left w:val="single" w:color="auto" w:sz="4" w:space="0"/>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8.33</w:t>
            </w:r>
          </w:p>
        </w:tc>
        <w:tc>
          <w:tcPr>
            <w:tcW w:w="1026" w:type="dxa"/>
            <w:tcBorders>
              <w:top w:val="single" w:color="auto" w:sz="8" w:space="0"/>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26.44</w:t>
            </w:r>
          </w:p>
        </w:tc>
        <w:tc>
          <w:tcPr>
            <w:tcW w:w="1026" w:type="dxa"/>
            <w:tcBorders>
              <w:top w:val="single" w:color="auto" w:sz="8" w:space="0"/>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44.93</w:t>
            </w:r>
          </w:p>
        </w:tc>
        <w:tc>
          <w:tcPr>
            <w:tcW w:w="1607" w:type="dxa"/>
            <w:tcBorders>
              <w:top w:val="single" w:color="auto" w:sz="8" w:space="0"/>
              <w:left w:val="nil"/>
              <w:bottom w:val="single" w:color="auto" w:sz="12" w:space="0"/>
              <w:right w:val="nil"/>
            </w:tcBorders>
            <w:vAlign w:val="center"/>
          </w:tcPr>
          <w:p>
            <w:pPr>
              <w:widowControl/>
              <w:jc w:val="center"/>
              <w:rPr>
                <w:rFonts w:ascii="Times New Roman" w:hAnsi="Times New Roman"/>
                <w:kern w:val="0"/>
              </w:rPr>
            </w:pPr>
            <w:r>
              <w:rPr>
                <w:rFonts w:ascii="Times New Roman" w:hAnsi="Times New Roman"/>
                <w:kern w:val="0"/>
              </w:rPr>
              <w:t>19.55</w:t>
            </w:r>
          </w:p>
        </w:tc>
      </w:tr>
    </w:tbl>
    <w:p>
      <w:pPr>
        <w:rPr>
          <w:rFonts w:ascii="Times New Roman" w:hAnsi="Times New Roman"/>
          <w:kern w:val="0"/>
        </w:rPr>
      </w:pPr>
    </w:p>
    <w:tbl>
      <w:tblPr>
        <w:tblStyle w:val="21"/>
        <w:tblpPr w:leftFromText="180" w:rightFromText="180" w:vertAnchor="text" w:horzAnchor="margin" w:tblpXSpec="center" w:tblpY="158"/>
        <w:tblW w:w="8649" w:type="dxa"/>
        <w:tblInd w:w="0" w:type="dxa"/>
        <w:tblLayout w:type="fixed"/>
        <w:tblCellMar>
          <w:top w:w="0" w:type="dxa"/>
          <w:left w:w="108" w:type="dxa"/>
          <w:bottom w:w="0" w:type="dxa"/>
          <w:right w:w="108" w:type="dxa"/>
        </w:tblCellMar>
      </w:tblPr>
      <w:tblGrid>
        <w:gridCol w:w="1900"/>
        <w:gridCol w:w="1039"/>
        <w:gridCol w:w="942"/>
        <w:gridCol w:w="942"/>
        <w:gridCol w:w="942"/>
        <w:gridCol w:w="942"/>
        <w:gridCol w:w="942"/>
        <w:gridCol w:w="1000"/>
      </w:tblGrid>
      <w:tr>
        <w:tblPrEx>
          <w:tblCellMar>
            <w:top w:w="0" w:type="dxa"/>
            <w:left w:w="108" w:type="dxa"/>
            <w:bottom w:w="0" w:type="dxa"/>
            <w:right w:w="108" w:type="dxa"/>
          </w:tblCellMar>
        </w:tblPrEx>
        <w:trPr>
          <w:trHeight w:val="691" w:hRule="exact"/>
        </w:trPr>
        <w:tc>
          <w:tcPr>
            <w:tcW w:w="8649" w:type="dxa"/>
            <w:gridSpan w:val="8"/>
            <w:tcBorders>
              <w:top w:val="nil"/>
              <w:left w:val="nil"/>
              <w:bottom w:val="single" w:color="auto" w:sz="12" w:space="0"/>
              <w:right w:val="nil"/>
            </w:tcBorders>
            <w:vAlign w:val="center"/>
          </w:tcPr>
          <w:p>
            <w:pPr>
              <w:widowControl/>
              <w:jc w:val="center"/>
              <w:rPr>
                <w:rFonts w:ascii="Times New Roman" w:hAnsi="Times New Roman"/>
                <w:b/>
                <w:kern w:val="0"/>
              </w:rPr>
            </w:pPr>
            <w:r>
              <w:rPr>
                <w:rFonts w:ascii="Times New Roman" w:hAnsi="Times New Roman"/>
                <w:b/>
                <w:kern w:val="0"/>
              </w:rPr>
              <w:t>表4  煤炭行业技能人员技术等级表</w:t>
            </w:r>
          </w:p>
        </w:tc>
      </w:tr>
      <w:tr>
        <w:tblPrEx>
          <w:tblCellMar>
            <w:top w:w="0" w:type="dxa"/>
            <w:left w:w="108" w:type="dxa"/>
            <w:bottom w:w="0" w:type="dxa"/>
            <w:right w:w="108" w:type="dxa"/>
          </w:tblCellMar>
        </w:tblPrEx>
        <w:trPr>
          <w:trHeight w:val="691" w:hRule="exact"/>
        </w:trPr>
        <w:tc>
          <w:tcPr>
            <w:tcW w:w="1900" w:type="dxa"/>
            <w:tcBorders>
              <w:top w:val="nil"/>
              <w:left w:val="nil"/>
              <w:bottom w:val="single" w:color="auto" w:sz="8" w:space="0"/>
              <w:right w:val="single" w:color="auto" w:sz="8" w:space="0"/>
            </w:tcBorders>
            <w:vAlign w:val="center"/>
          </w:tcPr>
          <w:p>
            <w:pPr>
              <w:widowControl/>
              <w:jc w:val="left"/>
              <w:rPr>
                <w:rFonts w:ascii="Times New Roman" w:hAnsi="Times New Roman"/>
                <w:kern w:val="0"/>
              </w:rPr>
            </w:pPr>
            <w:r>
              <w:rPr>
                <w:rFonts w:ascii="Times New Roman" w:hAnsi="Times New Roman"/>
                <w:kern w:val="0"/>
              </w:rPr>
              <w:t>　</w:t>
            </w:r>
          </w:p>
        </w:tc>
        <w:tc>
          <w:tcPr>
            <w:tcW w:w="1039"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合计</w:t>
            </w:r>
          </w:p>
        </w:tc>
        <w:tc>
          <w:tcPr>
            <w:tcW w:w="942"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高级</w:t>
            </w:r>
          </w:p>
          <w:p>
            <w:pPr>
              <w:widowControl/>
              <w:jc w:val="center"/>
              <w:rPr>
                <w:rFonts w:ascii="Times New Roman" w:hAnsi="Times New Roman"/>
                <w:kern w:val="0"/>
              </w:rPr>
            </w:pPr>
            <w:r>
              <w:rPr>
                <w:rFonts w:ascii="Times New Roman" w:hAnsi="Times New Roman"/>
                <w:kern w:val="0"/>
              </w:rPr>
              <w:t>技师</w:t>
            </w:r>
          </w:p>
        </w:tc>
        <w:tc>
          <w:tcPr>
            <w:tcW w:w="942"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技师</w:t>
            </w:r>
          </w:p>
        </w:tc>
        <w:tc>
          <w:tcPr>
            <w:tcW w:w="942"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高级工</w:t>
            </w:r>
          </w:p>
        </w:tc>
        <w:tc>
          <w:tcPr>
            <w:tcW w:w="942"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中级工</w:t>
            </w:r>
          </w:p>
        </w:tc>
        <w:tc>
          <w:tcPr>
            <w:tcW w:w="942"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初级工</w:t>
            </w:r>
          </w:p>
        </w:tc>
        <w:tc>
          <w:tcPr>
            <w:tcW w:w="995" w:type="dxa"/>
            <w:tcBorders>
              <w:top w:val="nil"/>
              <w:left w:val="nil"/>
              <w:bottom w:val="single" w:color="auto" w:sz="8" w:space="0"/>
              <w:right w:val="nil"/>
            </w:tcBorders>
            <w:vAlign w:val="center"/>
          </w:tcPr>
          <w:p>
            <w:pPr>
              <w:widowControl/>
              <w:jc w:val="center"/>
              <w:rPr>
                <w:rFonts w:ascii="Times New Roman" w:hAnsi="Times New Roman"/>
                <w:kern w:val="0"/>
              </w:rPr>
            </w:pPr>
            <w:r>
              <w:rPr>
                <w:rFonts w:ascii="Times New Roman" w:hAnsi="Times New Roman"/>
                <w:kern w:val="0"/>
              </w:rPr>
              <w:t>其他</w:t>
            </w:r>
          </w:p>
        </w:tc>
      </w:tr>
      <w:tr>
        <w:tblPrEx>
          <w:tblCellMar>
            <w:top w:w="0" w:type="dxa"/>
            <w:left w:w="108" w:type="dxa"/>
            <w:bottom w:w="0" w:type="dxa"/>
            <w:right w:w="108" w:type="dxa"/>
          </w:tblCellMar>
        </w:tblPrEx>
        <w:trPr>
          <w:trHeight w:val="691" w:hRule="exact"/>
        </w:trPr>
        <w:tc>
          <w:tcPr>
            <w:tcW w:w="1900"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从业人数</w:t>
            </w:r>
          </w:p>
        </w:tc>
        <w:tc>
          <w:tcPr>
            <w:tcW w:w="1039"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4345192</w:t>
            </w:r>
          </w:p>
        </w:tc>
        <w:tc>
          <w:tcPr>
            <w:tcW w:w="942"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6451</w:t>
            </w:r>
          </w:p>
        </w:tc>
        <w:tc>
          <w:tcPr>
            <w:tcW w:w="942"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54597</w:t>
            </w:r>
          </w:p>
        </w:tc>
        <w:tc>
          <w:tcPr>
            <w:tcW w:w="942"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310105</w:t>
            </w:r>
          </w:p>
        </w:tc>
        <w:tc>
          <w:tcPr>
            <w:tcW w:w="942"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461275</w:t>
            </w:r>
          </w:p>
        </w:tc>
        <w:tc>
          <w:tcPr>
            <w:tcW w:w="942"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721605</w:t>
            </w:r>
          </w:p>
        </w:tc>
        <w:tc>
          <w:tcPr>
            <w:tcW w:w="995" w:type="dxa"/>
            <w:tcBorders>
              <w:top w:val="nil"/>
              <w:left w:val="nil"/>
              <w:bottom w:val="single" w:color="auto" w:sz="8" w:space="0"/>
              <w:right w:val="nil"/>
            </w:tcBorders>
            <w:vAlign w:val="center"/>
          </w:tcPr>
          <w:p>
            <w:pPr>
              <w:widowControl/>
              <w:jc w:val="center"/>
              <w:rPr>
                <w:rFonts w:ascii="Times New Roman" w:hAnsi="Times New Roman"/>
                <w:kern w:val="0"/>
              </w:rPr>
            </w:pPr>
            <w:r>
              <w:rPr>
                <w:rFonts w:ascii="Times New Roman" w:hAnsi="Times New Roman"/>
                <w:kern w:val="0"/>
              </w:rPr>
              <w:t>2791159</w:t>
            </w:r>
          </w:p>
        </w:tc>
      </w:tr>
      <w:tr>
        <w:tblPrEx>
          <w:tblCellMar>
            <w:top w:w="0" w:type="dxa"/>
            <w:left w:w="108" w:type="dxa"/>
            <w:bottom w:w="0" w:type="dxa"/>
            <w:right w:w="108" w:type="dxa"/>
          </w:tblCellMar>
        </w:tblPrEx>
        <w:trPr>
          <w:trHeight w:val="691" w:hRule="exact"/>
        </w:trPr>
        <w:tc>
          <w:tcPr>
            <w:tcW w:w="1900" w:type="dxa"/>
            <w:tcBorders>
              <w:top w:val="nil"/>
              <w:left w:val="nil"/>
              <w:bottom w:val="single" w:color="auto" w:sz="12" w:space="0"/>
              <w:right w:val="single" w:color="auto" w:sz="8" w:space="0"/>
            </w:tcBorders>
            <w:vAlign w:val="center"/>
          </w:tcPr>
          <w:p>
            <w:pPr>
              <w:widowControl/>
              <w:jc w:val="left"/>
              <w:rPr>
                <w:rFonts w:ascii="Times New Roman" w:hAnsi="Times New Roman"/>
                <w:kern w:val="0"/>
              </w:rPr>
            </w:pPr>
            <w:r>
              <w:rPr>
                <w:rFonts w:ascii="Times New Roman" w:hAnsi="Times New Roman"/>
                <w:kern w:val="0"/>
              </w:rPr>
              <w:t>各类人数/技能人员总数（%）</w:t>
            </w:r>
          </w:p>
        </w:tc>
        <w:tc>
          <w:tcPr>
            <w:tcW w:w="1039"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100</w:t>
            </w:r>
          </w:p>
        </w:tc>
        <w:tc>
          <w:tcPr>
            <w:tcW w:w="942"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0.15</w:t>
            </w:r>
          </w:p>
        </w:tc>
        <w:tc>
          <w:tcPr>
            <w:tcW w:w="942"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1.26</w:t>
            </w:r>
          </w:p>
        </w:tc>
        <w:tc>
          <w:tcPr>
            <w:tcW w:w="942"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7.14</w:t>
            </w:r>
          </w:p>
        </w:tc>
        <w:tc>
          <w:tcPr>
            <w:tcW w:w="942"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10.62</w:t>
            </w:r>
          </w:p>
        </w:tc>
        <w:tc>
          <w:tcPr>
            <w:tcW w:w="942"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16.61</w:t>
            </w:r>
          </w:p>
        </w:tc>
        <w:tc>
          <w:tcPr>
            <w:tcW w:w="995" w:type="dxa"/>
            <w:tcBorders>
              <w:top w:val="nil"/>
              <w:left w:val="nil"/>
              <w:bottom w:val="single" w:color="auto" w:sz="12" w:space="0"/>
              <w:right w:val="nil"/>
            </w:tcBorders>
            <w:vAlign w:val="center"/>
          </w:tcPr>
          <w:p>
            <w:pPr>
              <w:widowControl/>
              <w:jc w:val="center"/>
              <w:rPr>
                <w:rFonts w:ascii="Times New Roman" w:hAnsi="Times New Roman"/>
                <w:kern w:val="0"/>
              </w:rPr>
            </w:pPr>
            <w:r>
              <w:rPr>
                <w:rFonts w:ascii="Times New Roman" w:hAnsi="Times New Roman"/>
                <w:kern w:val="0"/>
              </w:rPr>
              <w:t>64.24</w:t>
            </w:r>
          </w:p>
        </w:tc>
      </w:tr>
    </w:tbl>
    <w:tbl>
      <w:tblPr>
        <w:tblStyle w:val="21"/>
        <w:tblW w:w="9052" w:type="dxa"/>
        <w:jc w:val="center"/>
        <w:tblLayout w:type="fixed"/>
        <w:tblCellMar>
          <w:top w:w="0" w:type="dxa"/>
          <w:left w:w="108" w:type="dxa"/>
          <w:bottom w:w="0" w:type="dxa"/>
          <w:right w:w="108" w:type="dxa"/>
        </w:tblCellMar>
      </w:tblPr>
      <w:tblGrid>
        <w:gridCol w:w="1635"/>
        <w:gridCol w:w="1034"/>
        <w:gridCol w:w="1034"/>
        <w:gridCol w:w="1080"/>
        <w:gridCol w:w="1080"/>
        <w:gridCol w:w="1080"/>
        <w:gridCol w:w="1080"/>
        <w:gridCol w:w="1029"/>
      </w:tblGrid>
      <w:tr>
        <w:trPr>
          <w:trHeight w:val="680" w:hRule="exact"/>
          <w:jc w:val="center"/>
        </w:trPr>
        <w:tc>
          <w:tcPr>
            <w:tcW w:w="9052" w:type="dxa"/>
            <w:gridSpan w:val="8"/>
            <w:tcBorders>
              <w:top w:val="nil"/>
              <w:left w:val="nil"/>
              <w:bottom w:val="single" w:color="auto" w:sz="12" w:space="0"/>
              <w:right w:val="nil"/>
            </w:tcBorders>
            <w:vAlign w:val="center"/>
          </w:tcPr>
          <w:p>
            <w:pPr>
              <w:widowControl/>
              <w:jc w:val="center"/>
              <w:rPr>
                <w:rFonts w:ascii="Times New Roman" w:hAnsi="Times New Roman"/>
                <w:b/>
                <w:kern w:val="0"/>
              </w:rPr>
            </w:pPr>
            <w:r>
              <w:rPr>
                <w:rFonts w:ascii="Times New Roman" w:hAnsi="Times New Roman"/>
                <w:b/>
                <w:kern w:val="0"/>
              </w:rPr>
              <w:t>表5  煤炭行业从业人员年龄分布情况表</w:t>
            </w:r>
          </w:p>
        </w:tc>
      </w:tr>
      <w:tr>
        <w:tblPrEx>
          <w:tblCellMar>
            <w:top w:w="0" w:type="dxa"/>
            <w:left w:w="108" w:type="dxa"/>
            <w:bottom w:w="0" w:type="dxa"/>
            <w:right w:w="108" w:type="dxa"/>
          </w:tblCellMar>
        </w:tblPrEx>
        <w:trPr>
          <w:trHeight w:val="680" w:hRule="exact"/>
          <w:jc w:val="center"/>
        </w:trPr>
        <w:tc>
          <w:tcPr>
            <w:tcW w:w="1635" w:type="dxa"/>
            <w:tcBorders>
              <w:top w:val="nil"/>
              <w:left w:val="nil"/>
              <w:bottom w:val="single" w:color="auto" w:sz="8" w:space="0"/>
              <w:right w:val="single" w:color="auto" w:sz="8" w:space="0"/>
            </w:tcBorders>
            <w:vAlign w:val="center"/>
          </w:tcPr>
          <w:p>
            <w:pPr>
              <w:widowControl/>
              <w:jc w:val="left"/>
              <w:rPr>
                <w:rFonts w:ascii="Times New Roman" w:hAnsi="Times New Roman"/>
                <w:kern w:val="0"/>
              </w:rPr>
            </w:pPr>
            <w:r>
              <w:rPr>
                <w:rFonts w:ascii="Times New Roman" w:hAnsi="Times New Roman"/>
                <w:kern w:val="0"/>
              </w:rPr>
              <w:t>　</w:t>
            </w:r>
          </w:p>
        </w:tc>
        <w:tc>
          <w:tcPr>
            <w:tcW w:w="1034"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合计</w:t>
            </w:r>
          </w:p>
        </w:tc>
        <w:tc>
          <w:tcPr>
            <w:tcW w:w="1034"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35岁及以下</w:t>
            </w:r>
          </w:p>
        </w:tc>
        <w:tc>
          <w:tcPr>
            <w:tcW w:w="1080"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36-40岁</w:t>
            </w:r>
          </w:p>
        </w:tc>
        <w:tc>
          <w:tcPr>
            <w:tcW w:w="1080"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41-45岁</w:t>
            </w:r>
          </w:p>
        </w:tc>
        <w:tc>
          <w:tcPr>
            <w:tcW w:w="1080"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46-50岁</w:t>
            </w:r>
          </w:p>
        </w:tc>
        <w:tc>
          <w:tcPr>
            <w:tcW w:w="1080"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51-55岁</w:t>
            </w:r>
          </w:p>
        </w:tc>
        <w:tc>
          <w:tcPr>
            <w:tcW w:w="1029" w:type="dxa"/>
            <w:tcBorders>
              <w:top w:val="nil"/>
              <w:left w:val="nil"/>
              <w:bottom w:val="single" w:color="auto" w:sz="8" w:space="0"/>
              <w:right w:val="nil"/>
            </w:tcBorders>
            <w:vAlign w:val="center"/>
          </w:tcPr>
          <w:p>
            <w:pPr>
              <w:widowControl/>
              <w:jc w:val="center"/>
              <w:rPr>
                <w:rFonts w:ascii="Times New Roman" w:hAnsi="Times New Roman"/>
                <w:kern w:val="0"/>
              </w:rPr>
            </w:pPr>
            <w:r>
              <w:rPr>
                <w:rFonts w:ascii="Times New Roman" w:hAnsi="Times New Roman"/>
                <w:kern w:val="0"/>
              </w:rPr>
              <w:t>56岁及以上</w:t>
            </w:r>
          </w:p>
        </w:tc>
      </w:tr>
      <w:tr>
        <w:tblPrEx>
          <w:tblCellMar>
            <w:top w:w="0" w:type="dxa"/>
            <w:left w:w="108" w:type="dxa"/>
            <w:bottom w:w="0" w:type="dxa"/>
            <w:right w:w="108" w:type="dxa"/>
          </w:tblCellMar>
        </w:tblPrEx>
        <w:trPr>
          <w:trHeight w:val="680" w:hRule="exact"/>
          <w:jc w:val="center"/>
        </w:trPr>
        <w:tc>
          <w:tcPr>
            <w:tcW w:w="1635"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从业人数</w:t>
            </w:r>
          </w:p>
        </w:tc>
        <w:tc>
          <w:tcPr>
            <w:tcW w:w="1034"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5270948</w:t>
            </w:r>
          </w:p>
        </w:tc>
        <w:tc>
          <w:tcPr>
            <w:tcW w:w="1034"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1698868</w:t>
            </w:r>
          </w:p>
        </w:tc>
        <w:tc>
          <w:tcPr>
            <w:tcW w:w="1080"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1111464</w:t>
            </w:r>
          </w:p>
        </w:tc>
        <w:tc>
          <w:tcPr>
            <w:tcW w:w="1080"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1054275</w:t>
            </w:r>
          </w:p>
        </w:tc>
        <w:tc>
          <w:tcPr>
            <w:tcW w:w="1080"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811672</w:t>
            </w:r>
          </w:p>
        </w:tc>
        <w:tc>
          <w:tcPr>
            <w:tcW w:w="1080" w:type="dxa"/>
            <w:tcBorders>
              <w:top w:val="nil"/>
              <w:left w:val="nil"/>
              <w:bottom w:val="single" w:color="auto" w:sz="8"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411605</w:t>
            </w:r>
          </w:p>
        </w:tc>
        <w:tc>
          <w:tcPr>
            <w:tcW w:w="1029" w:type="dxa"/>
            <w:tcBorders>
              <w:top w:val="nil"/>
              <w:left w:val="nil"/>
              <w:bottom w:val="single" w:color="auto" w:sz="8" w:space="0"/>
              <w:right w:val="nil"/>
            </w:tcBorders>
            <w:vAlign w:val="center"/>
          </w:tcPr>
          <w:p>
            <w:pPr>
              <w:widowControl/>
              <w:jc w:val="center"/>
              <w:rPr>
                <w:rFonts w:ascii="Times New Roman" w:hAnsi="Times New Roman"/>
                <w:kern w:val="0"/>
              </w:rPr>
            </w:pPr>
            <w:r>
              <w:rPr>
                <w:rFonts w:ascii="Times New Roman" w:hAnsi="Times New Roman"/>
                <w:kern w:val="0"/>
              </w:rPr>
              <w:t>183064</w:t>
            </w:r>
          </w:p>
        </w:tc>
      </w:tr>
      <w:tr>
        <w:tblPrEx>
          <w:tblCellMar>
            <w:top w:w="0" w:type="dxa"/>
            <w:left w:w="108" w:type="dxa"/>
            <w:bottom w:w="0" w:type="dxa"/>
            <w:right w:w="108" w:type="dxa"/>
          </w:tblCellMar>
        </w:tblPrEx>
        <w:trPr>
          <w:trHeight w:val="1098" w:hRule="exact"/>
          <w:jc w:val="center"/>
        </w:trPr>
        <w:tc>
          <w:tcPr>
            <w:tcW w:w="1635" w:type="dxa"/>
            <w:tcBorders>
              <w:top w:val="nil"/>
              <w:left w:val="nil"/>
              <w:bottom w:val="single" w:color="auto" w:sz="12" w:space="0"/>
              <w:right w:val="single" w:color="auto" w:sz="8" w:space="0"/>
            </w:tcBorders>
            <w:vAlign w:val="center"/>
          </w:tcPr>
          <w:p>
            <w:pPr>
              <w:widowControl/>
              <w:jc w:val="left"/>
              <w:rPr>
                <w:rFonts w:ascii="Times New Roman" w:hAnsi="Times New Roman"/>
                <w:kern w:val="0"/>
              </w:rPr>
            </w:pPr>
            <w:r>
              <w:rPr>
                <w:rFonts w:ascii="Times New Roman" w:hAnsi="Times New Roman"/>
                <w:kern w:val="0"/>
              </w:rPr>
              <w:t>各年龄区间/从业人数（%）</w:t>
            </w:r>
          </w:p>
        </w:tc>
        <w:tc>
          <w:tcPr>
            <w:tcW w:w="1034"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100</w:t>
            </w:r>
          </w:p>
        </w:tc>
        <w:tc>
          <w:tcPr>
            <w:tcW w:w="1034"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 xml:space="preserve">32.23 </w:t>
            </w:r>
          </w:p>
        </w:tc>
        <w:tc>
          <w:tcPr>
            <w:tcW w:w="1080"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 xml:space="preserve">21.09 </w:t>
            </w:r>
          </w:p>
        </w:tc>
        <w:tc>
          <w:tcPr>
            <w:tcW w:w="1080"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 xml:space="preserve">20.00 </w:t>
            </w:r>
          </w:p>
        </w:tc>
        <w:tc>
          <w:tcPr>
            <w:tcW w:w="1080"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 xml:space="preserve">15.40 </w:t>
            </w:r>
          </w:p>
        </w:tc>
        <w:tc>
          <w:tcPr>
            <w:tcW w:w="1080" w:type="dxa"/>
            <w:tcBorders>
              <w:top w:val="nil"/>
              <w:left w:val="nil"/>
              <w:bottom w:val="single" w:color="auto" w:sz="12" w:space="0"/>
              <w:right w:val="single" w:color="auto" w:sz="8" w:space="0"/>
            </w:tcBorders>
            <w:vAlign w:val="center"/>
          </w:tcPr>
          <w:p>
            <w:pPr>
              <w:widowControl/>
              <w:jc w:val="center"/>
              <w:rPr>
                <w:rFonts w:ascii="Times New Roman" w:hAnsi="Times New Roman"/>
                <w:kern w:val="0"/>
              </w:rPr>
            </w:pPr>
            <w:r>
              <w:rPr>
                <w:rFonts w:ascii="Times New Roman" w:hAnsi="Times New Roman"/>
                <w:kern w:val="0"/>
              </w:rPr>
              <w:t xml:space="preserve">7.81 </w:t>
            </w:r>
          </w:p>
        </w:tc>
        <w:tc>
          <w:tcPr>
            <w:tcW w:w="1029" w:type="dxa"/>
            <w:tcBorders>
              <w:top w:val="nil"/>
              <w:left w:val="nil"/>
              <w:bottom w:val="single" w:color="auto" w:sz="12" w:space="0"/>
              <w:right w:val="nil"/>
            </w:tcBorders>
            <w:vAlign w:val="center"/>
          </w:tcPr>
          <w:p>
            <w:pPr>
              <w:widowControl/>
              <w:jc w:val="center"/>
              <w:rPr>
                <w:rFonts w:ascii="Times New Roman" w:hAnsi="Times New Roman"/>
                <w:kern w:val="0"/>
              </w:rPr>
            </w:pPr>
            <w:r>
              <w:rPr>
                <w:rFonts w:ascii="Times New Roman" w:hAnsi="Times New Roman"/>
                <w:kern w:val="0"/>
              </w:rPr>
              <w:t xml:space="preserve">3.47 </w:t>
            </w:r>
          </w:p>
        </w:tc>
      </w:tr>
    </w:tbl>
    <w:p>
      <w:pPr>
        <w:pStyle w:val="3"/>
        <w:spacing w:beforeLines="50" w:afterLines="50" w:line="500" w:lineRule="exact"/>
        <w:ind w:firstLine="602" w:firstLineChars="200"/>
        <w:rPr>
          <w:rFonts w:ascii="Times New Roman" w:hAnsi="Times New Roman" w:cs="Times New Roman"/>
          <w:sz w:val="30"/>
          <w:szCs w:val="30"/>
        </w:rPr>
      </w:pPr>
      <w:bookmarkStart w:id="8" w:name="_Toc423019089"/>
      <w:r>
        <w:rPr>
          <w:rFonts w:ascii="Times New Roman" w:hAnsi="Times New Roman" w:cs="Times New Roman"/>
          <w:sz w:val="30"/>
          <w:szCs w:val="30"/>
        </w:rPr>
        <w:t>（三）煤炭企业发展的内在需要</w:t>
      </w:r>
      <w:bookmarkEnd w:id="8"/>
    </w:p>
    <w:p>
      <w:pPr>
        <w:ind w:firstLine="585"/>
        <w:rPr>
          <w:rFonts w:ascii="Times New Roman" w:hAnsi="Times New Roman" w:eastAsia="仿宋_GB2312"/>
          <w:kern w:val="0"/>
          <w:sz w:val="30"/>
          <w:szCs w:val="30"/>
        </w:rPr>
      </w:pPr>
      <w:r>
        <w:rPr>
          <w:rFonts w:ascii="Times New Roman" w:hAnsi="Times New Roman" w:eastAsia="仿宋_GB2312"/>
          <w:kern w:val="0"/>
          <w:sz w:val="30"/>
          <w:szCs w:val="30"/>
        </w:rPr>
        <w:t>为了解煤炭企业对学历教育的需求情况，采取以下形式进行了调研：</w:t>
      </w:r>
    </w:p>
    <w:p>
      <w:pPr>
        <w:ind w:firstLine="585"/>
        <w:rPr>
          <w:rFonts w:ascii="Times New Roman" w:hAnsi="Times New Roman" w:eastAsia="仿宋_GB2312"/>
          <w:sz w:val="30"/>
          <w:szCs w:val="30"/>
        </w:rPr>
      </w:pPr>
      <w:r>
        <w:rPr>
          <w:rFonts w:ascii="Times New Roman" w:hAnsi="Times New Roman" w:eastAsia="仿宋_GB2312"/>
          <w:b/>
          <w:sz w:val="30"/>
          <w:szCs w:val="30"/>
        </w:rPr>
        <w:t>一是问卷调查。</w:t>
      </w:r>
      <w:r>
        <w:rPr>
          <w:rFonts w:ascii="Times New Roman" w:hAnsi="Times New Roman" w:eastAsia="仿宋_GB2312"/>
          <w:sz w:val="30"/>
          <w:szCs w:val="30"/>
        </w:rPr>
        <w:t>了解企业从业人员的学历层次、专业分布以及人才需求等人力资源状况。</w:t>
      </w:r>
    </w:p>
    <w:p>
      <w:pPr>
        <w:ind w:firstLine="585"/>
        <w:rPr>
          <w:rFonts w:ascii="Times New Roman" w:hAnsi="Times New Roman" w:eastAsia="仿宋_GB2312"/>
          <w:sz w:val="30"/>
          <w:szCs w:val="30"/>
        </w:rPr>
      </w:pPr>
      <w:r>
        <w:rPr>
          <w:rFonts w:ascii="Times New Roman" w:hAnsi="Times New Roman" w:eastAsia="仿宋_GB2312"/>
          <w:b/>
          <w:bCs/>
          <w:sz w:val="30"/>
          <w:szCs w:val="30"/>
        </w:rPr>
        <w:t>二是与煤炭企业分管人力资源的领导召开座谈会。</w:t>
      </w:r>
      <w:r>
        <w:rPr>
          <w:rFonts w:ascii="Times New Roman" w:hAnsi="Times New Roman" w:eastAsia="仿宋_GB2312"/>
          <w:sz w:val="30"/>
          <w:szCs w:val="30"/>
        </w:rPr>
        <w:t>了解企业人才需求的趋势；了解企业与煤矿开采技术专业相关的部门设置、岗位设置及主要工作内容；了解新技术、新装备在该企业的应用情况。</w:t>
      </w:r>
    </w:p>
    <w:p>
      <w:pPr>
        <w:ind w:firstLine="585"/>
        <w:rPr>
          <w:rFonts w:ascii="Times New Roman" w:hAnsi="Times New Roman" w:eastAsia="仿宋_GB2312"/>
          <w:sz w:val="30"/>
          <w:szCs w:val="30"/>
        </w:rPr>
      </w:pPr>
      <w:r>
        <w:rPr>
          <w:rFonts w:ascii="Times New Roman" w:hAnsi="Times New Roman" w:eastAsia="仿宋_GB2312"/>
          <w:b/>
          <w:bCs/>
          <w:sz w:val="30"/>
          <w:szCs w:val="30"/>
        </w:rPr>
        <w:t>三是走访煤炭企业与</w:t>
      </w:r>
      <w:r>
        <w:rPr>
          <w:rFonts w:ascii="Times New Roman" w:hAnsi="Times New Roman" w:eastAsia="仿宋_GB2312"/>
          <w:sz w:val="30"/>
          <w:szCs w:val="30"/>
        </w:rPr>
        <w:t>煤矿开采技术</w:t>
      </w:r>
      <w:r>
        <w:rPr>
          <w:rFonts w:ascii="Times New Roman" w:hAnsi="Times New Roman" w:eastAsia="仿宋_GB2312"/>
          <w:b/>
          <w:bCs/>
          <w:sz w:val="30"/>
          <w:szCs w:val="30"/>
        </w:rPr>
        <w:t>专业相关的部门，并与主要技术骨干及相关岗位操作人员进行座谈。</w:t>
      </w:r>
      <w:r>
        <w:rPr>
          <w:rFonts w:ascii="Times New Roman" w:hAnsi="Times New Roman" w:eastAsia="仿宋_GB2312"/>
          <w:sz w:val="30"/>
          <w:szCs w:val="30"/>
        </w:rPr>
        <w:t>对煤矿开采技术专业学生从事的岗位及能力需求进行调研；了解煤矿开采技术专业学生所对应的工作内容，完成其工作内容所需要专业知识能力及素质；了解其具体的任务、工作流程、工作方法、工作对象以及必备的专业知识。</w:t>
      </w:r>
    </w:p>
    <w:p>
      <w:pPr>
        <w:ind w:firstLine="585"/>
        <w:rPr>
          <w:rFonts w:ascii="Times New Roman" w:hAnsi="Times New Roman" w:eastAsia="仿宋_GB2312"/>
          <w:sz w:val="30"/>
          <w:szCs w:val="30"/>
        </w:rPr>
      </w:pPr>
      <w:r>
        <w:rPr>
          <w:rFonts w:ascii="Times New Roman" w:hAnsi="Times New Roman" w:eastAsia="仿宋_GB2312"/>
          <w:sz w:val="30"/>
          <w:szCs w:val="30"/>
        </w:rPr>
        <w:t>通过调研活动，得出如下结论：</w:t>
      </w:r>
    </w:p>
    <w:p>
      <w:pPr>
        <w:ind w:firstLine="585"/>
        <w:rPr>
          <w:rFonts w:ascii="Times New Roman" w:hAnsi="Times New Roman" w:eastAsia="仿宋_GB2312"/>
          <w:sz w:val="30"/>
          <w:szCs w:val="30"/>
        </w:rPr>
      </w:pPr>
      <w:r>
        <w:rPr>
          <w:rFonts w:ascii="Times New Roman" w:hAnsi="Times New Roman" w:eastAsia="仿宋_GB2312"/>
          <w:sz w:val="30"/>
          <w:szCs w:val="30"/>
        </w:rPr>
        <w:t>1.煤炭企业职工素质普遍较低，急需高素质技能型人才；</w:t>
      </w:r>
    </w:p>
    <w:p>
      <w:pPr>
        <w:ind w:firstLine="585"/>
        <w:rPr>
          <w:rFonts w:ascii="Times New Roman" w:hAnsi="Times New Roman" w:eastAsia="仿宋_GB2312"/>
          <w:sz w:val="30"/>
          <w:szCs w:val="30"/>
        </w:rPr>
      </w:pPr>
      <w:r>
        <w:rPr>
          <w:rFonts w:ascii="Times New Roman" w:hAnsi="Times New Roman" w:eastAsia="仿宋_GB2312"/>
          <w:sz w:val="30"/>
          <w:szCs w:val="30"/>
        </w:rPr>
        <w:t>2.煤炭企业对煤矿开采技术专业人才需求量较大；</w:t>
      </w:r>
    </w:p>
    <w:p>
      <w:pPr>
        <w:ind w:firstLine="585"/>
        <w:rPr>
          <w:rFonts w:ascii="Times New Roman" w:hAnsi="Times New Roman" w:eastAsia="仿宋_GB2312"/>
          <w:sz w:val="30"/>
          <w:szCs w:val="30"/>
        </w:rPr>
      </w:pPr>
      <w:r>
        <w:rPr>
          <w:rFonts w:ascii="Times New Roman" w:hAnsi="Times New Roman" w:eastAsia="仿宋_GB2312"/>
          <w:sz w:val="30"/>
          <w:szCs w:val="30"/>
        </w:rPr>
        <w:t>3.煤炭企业中高级职称工程技术人员偏少，远远低于国内平均水平，高职称人才群没有形成，企业发展和经济效益受到影响。</w:t>
      </w:r>
    </w:p>
    <w:p>
      <w:pPr>
        <w:ind w:firstLine="585"/>
        <w:rPr>
          <w:rFonts w:ascii="Times New Roman" w:hAnsi="Times New Roman" w:eastAsia="仿宋_GB2312"/>
          <w:sz w:val="30"/>
          <w:szCs w:val="30"/>
        </w:rPr>
      </w:pPr>
      <w:r>
        <w:rPr>
          <w:rFonts w:ascii="Times New Roman" w:hAnsi="Times New Roman" w:eastAsia="仿宋_GB2312"/>
          <w:sz w:val="30"/>
          <w:szCs w:val="30"/>
        </w:rPr>
        <w:t>4.煤炭企业高学历人才比例明显偏低，远远低于其它行业，影响了煤炭企业安全、生产、经营、管理和现代化建设步伐。</w:t>
      </w:r>
    </w:p>
    <w:p>
      <w:pPr>
        <w:pStyle w:val="2"/>
        <w:spacing w:beforeLines="50" w:afterLines="50" w:line="500" w:lineRule="exact"/>
        <w:ind w:firstLine="744" w:firstLineChars="247"/>
        <w:rPr>
          <w:rFonts w:ascii="Times New Roman" w:hAnsi="Times New Roman" w:cs="Times New Roman"/>
          <w:sz w:val="30"/>
          <w:szCs w:val="30"/>
        </w:rPr>
      </w:pPr>
      <w:bookmarkStart w:id="9" w:name="_Toc423019090"/>
      <w:r>
        <w:rPr>
          <w:rFonts w:ascii="Times New Roman" w:hAnsi="Times New Roman" w:cs="Times New Roman"/>
          <w:sz w:val="30"/>
          <w:szCs w:val="30"/>
        </w:rPr>
        <w:t>三、开办专业的可行性分析</w:t>
      </w:r>
      <w:bookmarkEnd w:id="9"/>
    </w:p>
    <w:p>
      <w:pPr>
        <w:pStyle w:val="3"/>
        <w:spacing w:beforeLines="50" w:afterLines="50" w:line="500" w:lineRule="exact"/>
        <w:ind w:firstLine="602" w:firstLineChars="200"/>
        <w:rPr>
          <w:rFonts w:ascii="Times New Roman" w:hAnsi="Times New Roman" w:cs="Times New Roman"/>
          <w:sz w:val="30"/>
          <w:szCs w:val="30"/>
        </w:rPr>
      </w:pPr>
      <w:bookmarkStart w:id="10" w:name="_Toc423019091"/>
      <w:r>
        <w:rPr>
          <w:rFonts w:ascii="Times New Roman" w:hAnsi="Times New Roman" w:cs="Times New Roman"/>
          <w:sz w:val="30"/>
          <w:szCs w:val="30"/>
        </w:rPr>
        <w:t>（一）政策分析与生源保障</w:t>
      </w:r>
      <w:bookmarkEnd w:id="10"/>
    </w:p>
    <w:p>
      <w:pPr>
        <w:ind w:firstLine="585"/>
        <w:rPr>
          <w:rFonts w:ascii="Times New Roman" w:hAnsi="Times New Roman" w:eastAsia="仿宋_GB2312"/>
          <w:b/>
          <w:bCs/>
          <w:sz w:val="30"/>
          <w:szCs w:val="30"/>
        </w:rPr>
      </w:pPr>
      <w:r>
        <w:rPr>
          <w:rFonts w:ascii="Times New Roman" w:hAnsi="Times New Roman" w:eastAsia="仿宋_GB2312"/>
          <w:b/>
          <w:bCs/>
          <w:sz w:val="30"/>
          <w:szCs w:val="30"/>
        </w:rPr>
        <w:t>1.政策支持</w:t>
      </w:r>
    </w:p>
    <w:p>
      <w:pPr>
        <w:ind w:firstLine="585"/>
        <w:rPr>
          <w:rFonts w:ascii="Times New Roman" w:hAnsi="Times New Roman" w:eastAsia="仿宋_GB2312"/>
          <w:sz w:val="30"/>
          <w:szCs w:val="30"/>
        </w:rPr>
      </w:pPr>
      <w:r>
        <w:rPr>
          <w:rFonts w:ascii="Times New Roman" w:hAnsi="Times New Roman" w:eastAsia="仿宋_GB2312"/>
          <w:sz w:val="30"/>
          <w:szCs w:val="30"/>
        </w:rPr>
        <w:t>《国务院关于加快发展现代职业教育的决定》（国发〔2014〕19号）是党中央、国务院做出的重大战略部署，是深入实施科教兴国战略和人才强国战略的必然要求，是保就业、惠民生、打造经济升级版的重要举措，对于深入实施创新驱动发展战略，加快转方式、调结构、促升级具有十分重要的意义。</w:t>
      </w:r>
    </w:p>
    <w:p>
      <w:pPr>
        <w:ind w:firstLine="585"/>
        <w:rPr>
          <w:rFonts w:ascii="Times New Roman" w:hAnsi="Times New Roman" w:eastAsia="仿宋_GB2312"/>
          <w:b/>
          <w:bCs/>
          <w:sz w:val="30"/>
          <w:szCs w:val="30"/>
        </w:rPr>
      </w:pPr>
      <w:r>
        <w:rPr>
          <w:rFonts w:ascii="Times New Roman" w:hAnsi="Times New Roman" w:eastAsia="仿宋_GB2312"/>
          <w:b/>
          <w:bCs/>
          <w:sz w:val="30"/>
          <w:szCs w:val="30"/>
        </w:rPr>
        <w:t>2.煤炭专业技术人才缺口巨大</w:t>
      </w:r>
    </w:p>
    <w:p>
      <w:pPr>
        <w:ind w:firstLine="585"/>
        <w:rPr>
          <w:rFonts w:ascii="Times New Roman" w:hAnsi="Times New Roman" w:eastAsia="仿宋_GB2312"/>
          <w:sz w:val="30"/>
          <w:szCs w:val="30"/>
        </w:rPr>
      </w:pPr>
      <w:r>
        <w:rPr>
          <w:rFonts w:ascii="Times New Roman" w:hAnsi="Times New Roman" w:eastAsia="仿宋_GB2312"/>
          <w:sz w:val="30"/>
          <w:szCs w:val="30"/>
        </w:rPr>
        <w:t>据统计，到2015年末，煤矿专业技术人员所占从业人员比例为13%左右，以全员效率700t（a·人）计算，全国煤矿从业人员为550余万人，专业技术人员72余万人；到2020年末，全国煤炭消费量将达到48亿吨左右，煤矿专业技术人员所占从业人员比例为15%左右，以全员效率900t（a·人）计算，全国煤矿从业人员将为530余万人，专业技术人员80余万人。从上述分析数据中不难看到，专业技术人才缺口相当大。</w:t>
      </w:r>
    </w:p>
    <w:p>
      <w:pPr>
        <w:ind w:firstLine="585"/>
        <w:rPr>
          <w:rFonts w:ascii="Times New Roman" w:hAnsi="Times New Roman" w:eastAsia="仿宋_GB2312"/>
          <w:sz w:val="30"/>
          <w:szCs w:val="30"/>
        </w:rPr>
      </w:pPr>
      <w:r>
        <w:rPr>
          <w:rFonts w:ascii="Times New Roman" w:hAnsi="Times New Roman" w:eastAsia="仿宋_GB2312"/>
          <w:b/>
          <w:bCs/>
          <w:sz w:val="30"/>
          <w:szCs w:val="30"/>
        </w:rPr>
        <w:t>3、中国煤炭工业协会支持与会员保障</w:t>
      </w:r>
    </w:p>
    <w:p>
      <w:pPr>
        <w:ind w:firstLine="585"/>
        <w:rPr>
          <w:rFonts w:ascii="Times New Roman" w:hAnsi="Times New Roman" w:eastAsia="仿宋_GB2312"/>
          <w:sz w:val="30"/>
          <w:szCs w:val="30"/>
        </w:rPr>
      </w:pPr>
      <w:r>
        <w:rPr>
          <w:rFonts w:ascii="Times New Roman" w:hAnsi="Times New Roman" w:eastAsia="仿宋_GB2312"/>
          <w:sz w:val="30"/>
          <w:szCs w:val="30"/>
        </w:rPr>
        <w:t>中国煤炭工业协会是国务院委托国资委管理的，经民政部批准成立的全国煤炭行业综合性社会组织。协会现有会员1354个，基本涵盖了煤炭生产及销售、基本建设、机械制造、地质勘探、科研设计和院校等企事业单位，是全国煤炭行业最大的社会组织，是政府认可、会员信赖、具有较强凝聚力的行业自律性组织，有效保障了招生来源和渠道。</w:t>
      </w:r>
    </w:p>
    <w:p>
      <w:pPr>
        <w:ind w:firstLine="585"/>
        <w:rPr>
          <w:rFonts w:ascii="Times New Roman" w:hAnsi="Times New Roman" w:eastAsia="仿宋_GB2312"/>
          <w:b/>
          <w:bCs/>
          <w:sz w:val="30"/>
          <w:szCs w:val="30"/>
        </w:rPr>
      </w:pPr>
      <w:r>
        <w:rPr>
          <w:rFonts w:ascii="Times New Roman" w:hAnsi="Times New Roman" w:eastAsia="仿宋_GB2312"/>
          <w:b/>
          <w:bCs/>
          <w:sz w:val="30"/>
          <w:szCs w:val="30"/>
        </w:rPr>
        <w:t>4、远程教学教育方式较为适合我国煤炭企业现实情况</w:t>
      </w:r>
    </w:p>
    <w:p>
      <w:pPr>
        <w:ind w:firstLine="585"/>
        <w:rPr>
          <w:rFonts w:ascii="Times New Roman" w:hAnsi="Times New Roman" w:eastAsia="仿宋_GB2312"/>
          <w:sz w:val="30"/>
          <w:szCs w:val="30"/>
        </w:rPr>
      </w:pPr>
      <w:r>
        <w:rPr>
          <w:rFonts w:ascii="Times New Roman" w:hAnsi="Times New Roman" w:eastAsia="仿宋_GB2312"/>
          <w:sz w:val="30"/>
          <w:szCs w:val="30"/>
        </w:rPr>
        <w:t>我国煤炭资源在地理分布上的总格局是西多东少、北富南贫，而且主要集中分布在目前经济还不发达的山西、河南、内蒙古、陕西、新疆、贵州、宁夏等省(自治区)，传统的集中学习培养方式不论财力、物力还是人力上都对煤炭企业造成了极大的负担。远程教学恰恰可以针对性地制定和实施缓解工学矛盾的有关措施，最大限度地避免了培训与生产工作的冲突，有效缓解了工作与学习时间上的矛盾。</w:t>
      </w:r>
    </w:p>
    <w:p>
      <w:pPr>
        <w:ind w:firstLine="585"/>
        <w:rPr>
          <w:rFonts w:ascii="Times New Roman" w:hAnsi="Times New Roman" w:eastAsia="仿宋_GB2312"/>
          <w:sz w:val="30"/>
          <w:szCs w:val="30"/>
        </w:rPr>
      </w:pPr>
      <w:r>
        <w:rPr>
          <w:rFonts w:ascii="Times New Roman" w:hAnsi="Times New Roman" w:eastAsia="仿宋_GB2312"/>
          <w:sz w:val="30"/>
          <w:szCs w:val="30"/>
        </w:rPr>
        <w:t>中国煤炭工业协会培训中心管理的全国煤炭行业现代远程教育培训网已成功运营11年，现有会员企业69家（具体名单见附件1），占到国有大型特大型煤炭企业的80%左右。</w:t>
      </w:r>
    </w:p>
    <w:p>
      <w:pPr>
        <w:pStyle w:val="3"/>
        <w:spacing w:beforeLines="50" w:afterLines="50" w:line="500" w:lineRule="exact"/>
        <w:ind w:firstLine="602" w:firstLineChars="200"/>
        <w:rPr>
          <w:rFonts w:ascii="Times New Roman" w:hAnsi="Times New Roman" w:cs="Times New Roman"/>
          <w:sz w:val="30"/>
          <w:szCs w:val="30"/>
        </w:rPr>
      </w:pPr>
      <w:bookmarkStart w:id="11" w:name="_Toc423019092"/>
      <w:r>
        <w:rPr>
          <w:rFonts w:ascii="Times New Roman" w:hAnsi="Times New Roman" w:cs="Times New Roman"/>
          <w:sz w:val="30"/>
          <w:szCs w:val="30"/>
        </w:rPr>
        <w:t>（二）开办专业的条件与优势</w:t>
      </w:r>
      <w:bookmarkEnd w:id="11"/>
    </w:p>
    <w:p>
      <w:pPr>
        <w:ind w:firstLine="585"/>
        <w:rPr>
          <w:rFonts w:ascii="Times New Roman" w:hAnsi="Times New Roman" w:eastAsia="仿宋_GB2312"/>
          <w:b/>
          <w:bCs/>
          <w:sz w:val="30"/>
          <w:szCs w:val="30"/>
        </w:rPr>
      </w:pPr>
      <w:r>
        <w:rPr>
          <w:rFonts w:ascii="Times New Roman" w:hAnsi="Times New Roman" w:eastAsia="仿宋_GB2312"/>
          <w:b/>
          <w:bCs/>
          <w:sz w:val="30"/>
          <w:szCs w:val="30"/>
        </w:rPr>
        <w:t>1、专家团队</w:t>
      </w:r>
    </w:p>
    <w:p>
      <w:pPr>
        <w:ind w:firstLine="585"/>
        <w:rPr>
          <w:rFonts w:ascii="Times New Roman" w:hAnsi="Times New Roman" w:eastAsia="仿宋_GB2312"/>
          <w:sz w:val="30"/>
          <w:szCs w:val="30"/>
        </w:rPr>
      </w:pPr>
      <w:r>
        <w:rPr>
          <w:rFonts w:ascii="Times New Roman" w:hAnsi="Times New Roman" w:eastAsia="仿宋_GB2312"/>
          <w:sz w:val="30"/>
          <w:szCs w:val="30"/>
        </w:rPr>
        <w:t>煤炭学院充分发挥行业办学优势，专家团队（见附件2）依托于煤矿井工开采专业、机械与电气设备专业、煤矿安全专业等29个方向的煤炭工业技术委员会，1006名行业各领域专家。他们有来自于煤炭行业知名院校、科研机构、大型煤炭企业的知名专家、学者，也有来自于企业一线的实践型专家，层次分明、专业结构合理，为煤炭学院的发展规划、学科建设、专业调整、教学授课等工作提供强有力的支撑，保证学院的健康、可持续发展。</w:t>
      </w:r>
    </w:p>
    <w:p>
      <w:pPr>
        <w:ind w:firstLine="585"/>
        <w:rPr>
          <w:rFonts w:ascii="Times New Roman" w:hAnsi="Times New Roman" w:eastAsia="仿宋_GB2312"/>
          <w:b/>
          <w:bCs/>
          <w:sz w:val="30"/>
          <w:szCs w:val="30"/>
        </w:rPr>
      </w:pPr>
      <w:r>
        <w:rPr>
          <w:rFonts w:ascii="Times New Roman" w:hAnsi="Times New Roman" w:eastAsia="仿宋_GB2312"/>
          <w:b/>
          <w:bCs/>
          <w:sz w:val="30"/>
          <w:szCs w:val="30"/>
        </w:rPr>
        <w:t>2、组织实施</w:t>
      </w:r>
    </w:p>
    <w:p>
      <w:pPr>
        <w:ind w:firstLine="585"/>
        <w:rPr>
          <w:rFonts w:ascii="Times New Roman" w:hAnsi="Times New Roman" w:eastAsia="仿宋_GB2312"/>
          <w:sz w:val="30"/>
          <w:szCs w:val="30"/>
        </w:rPr>
      </w:pPr>
      <w:r>
        <w:rPr>
          <w:rFonts w:ascii="Times New Roman" w:hAnsi="Times New Roman" w:eastAsia="仿宋_GB2312"/>
          <w:sz w:val="30"/>
          <w:szCs w:val="30"/>
        </w:rPr>
        <w:t>煤炭学院在教学组织、实施过程中，将充分整合中国煤炭教育协会的资源优势。中国煤炭教育协会是经民政部登记注册的全国煤炭行业性协会，是由煤炭院校、社会有关高等院校、煤炭企业、煤炭工业和煤矿安全管理部门等单位自愿组成，挂靠单位为中国煤炭工业协会，业务主管单位为教育部。协会下设高等教育、职工教育、职业技术教育、基础教育4个分会，分别承担相应类别的人才培养与培训工作现有普通高等学校会员单位17个，高职高专会员单位30多个，中等职业学校会员单位100多个，煤炭企业会员单位70多个。</w:t>
      </w:r>
    </w:p>
    <w:p>
      <w:pPr>
        <w:ind w:firstLine="585"/>
        <w:rPr>
          <w:rFonts w:ascii="Times New Roman" w:hAnsi="Times New Roman" w:eastAsia="仿宋_GB2312"/>
          <w:sz w:val="30"/>
          <w:szCs w:val="30"/>
        </w:rPr>
      </w:pPr>
      <w:r>
        <w:rPr>
          <w:rFonts w:ascii="Times New Roman" w:hAnsi="Times New Roman" w:eastAsia="仿宋_GB2312"/>
          <w:sz w:val="30"/>
          <w:szCs w:val="30"/>
        </w:rPr>
        <w:t>煤炭学院在实训、实操环节，将充分整合中国煤炭工业协会职业技能鉴定指导中心的资源优势。与煤炭企业建立合作机制，在全国各地建立多个实训基地（见附件3），利用全国煤炭行业技能大师和大师工作室（见附件4）开展面向生产实践的教学和实习，充分利用企业、学院在教学资源上的各自优势，把课堂传授知识为主的理论教育与以实践能力、实际经验为主的生产、科研实践的有机结合，从本质上解决学校教育与社会需求脱节的问题，增强学生的社会竞争能力。</w:t>
      </w:r>
    </w:p>
    <w:p>
      <w:pPr>
        <w:ind w:firstLine="585"/>
        <w:rPr>
          <w:rFonts w:ascii="Times New Roman" w:hAnsi="Times New Roman" w:eastAsia="仿宋_GB2312"/>
          <w:b/>
          <w:bCs/>
          <w:sz w:val="30"/>
          <w:szCs w:val="30"/>
        </w:rPr>
      </w:pPr>
      <w:r>
        <w:rPr>
          <w:rFonts w:ascii="Times New Roman" w:hAnsi="Times New Roman" w:eastAsia="仿宋_GB2312"/>
          <w:b/>
          <w:bCs/>
          <w:sz w:val="30"/>
          <w:szCs w:val="30"/>
        </w:rPr>
        <w:t>3、双证书的分层设计与学分银行行业中心建设</w:t>
      </w:r>
    </w:p>
    <w:p>
      <w:pPr>
        <w:ind w:firstLine="585"/>
        <w:rPr>
          <w:rFonts w:ascii="Times New Roman" w:hAnsi="Times New Roman" w:eastAsia="仿宋_GB2312"/>
          <w:sz w:val="30"/>
          <w:szCs w:val="30"/>
        </w:rPr>
      </w:pPr>
      <w:r>
        <w:rPr>
          <w:rFonts w:ascii="Times New Roman" w:hAnsi="Times New Roman" w:eastAsia="仿宋_GB2312"/>
          <w:sz w:val="30"/>
          <w:szCs w:val="30"/>
        </w:rPr>
        <w:t>第一类，强制性证书，包括煤矿主要负责人、安全生产管理人员和特种作业人员证书（简称“三项岗位人员”）和注册安全工程师证书，简称“3+1”。发证单位：国家安监总局。</w:t>
      </w:r>
    </w:p>
    <w:p>
      <w:pPr>
        <w:ind w:firstLine="585"/>
        <w:rPr>
          <w:rFonts w:ascii="Times New Roman" w:hAnsi="Times New Roman" w:eastAsia="仿宋_GB2312"/>
          <w:sz w:val="30"/>
          <w:szCs w:val="30"/>
        </w:rPr>
      </w:pPr>
      <w:r>
        <w:rPr>
          <w:rFonts w:ascii="Times New Roman" w:hAnsi="Times New Roman" w:eastAsia="仿宋_GB2312"/>
          <w:sz w:val="30"/>
          <w:szCs w:val="30"/>
        </w:rPr>
        <w:t>第二类，技能鉴定证书，包括采煤工（高级工）等煤炭行业职业技能鉴定类职业资格证书。发证单位：人力资源和社会保障部，具体实施单位：中国煤炭工业协会职业技能鉴定中心。</w:t>
      </w:r>
    </w:p>
    <w:p>
      <w:pPr>
        <w:ind w:firstLine="585"/>
        <w:rPr>
          <w:rFonts w:ascii="Times New Roman" w:hAnsi="Times New Roman" w:eastAsia="仿宋_GB2312"/>
          <w:sz w:val="30"/>
          <w:szCs w:val="30"/>
        </w:rPr>
      </w:pPr>
      <w:r>
        <w:rPr>
          <w:rFonts w:ascii="Times New Roman" w:hAnsi="Times New Roman" w:eastAsia="仿宋_GB2312"/>
          <w:sz w:val="30"/>
          <w:szCs w:val="30"/>
        </w:rPr>
        <w:t>第三类，国家职业大典中的职业证书。发证单位：人力资源和社会保障部</w:t>
      </w:r>
    </w:p>
    <w:p>
      <w:pPr>
        <w:ind w:firstLine="585"/>
        <w:rPr>
          <w:rFonts w:ascii="Times New Roman" w:hAnsi="Times New Roman" w:eastAsia="仿宋_GB2312"/>
          <w:sz w:val="30"/>
          <w:szCs w:val="30"/>
        </w:rPr>
      </w:pPr>
      <w:r>
        <w:rPr>
          <w:rFonts w:ascii="Times New Roman" w:hAnsi="Times New Roman" w:eastAsia="仿宋_GB2312"/>
          <w:sz w:val="30"/>
          <w:szCs w:val="30"/>
        </w:rPr>
        <w:t>第四类，项目证书，包括采煤师、通风师、机电师、掘进师证书和煤炭行业职业经理人执业资格证书。发证单位：中国煤炭工业协会。</w:t>
      </w:r>
    </w:p>
    <w:p>
      <w:pPr>
        <w:ind w:firstLine="585"/>
        <w:rPr>
          <w:rFonts w:ascii="Times New Roman" w:hAnsi="Times New Roman" w:eastAsia="仿宋_GB2312"/>
          <w:sz w:val="30"/>
          <w:szCs w:val="30"/>
        </w:rPr>
      </w:pPr>
      <w:r>
        <w:rPr>
          <w:rFonts w:ascii="Times New Roman" w:hAnsi="Times New Roman" w:eastAsia="仿宋_GB2312"/>
          <w:sz w:val="30"/>
          <w:szCs w:val="30"/>
        </w:rPr>
        <w:t>首选证书，是第二类证书——技能鉴定证书，目前已完成采煤工（高级工）的学分银行学习成果认证标准制定工作。专家组形成如下意见：认证标准制定思路清晰，目标明确，方法适当。研究内容具体，研究体系完整，科学可行。本认证标准可用。</w:t>
      </w:r>
    </w:p>
    <w:p>
      <w:pPr>
        <w:ind w:firstLine="585"/>
        <w:rPr>
          <w:rFonts w:ascii="Times New Roman" w:hAnsi="Times New Roman" w:eastAsia="仿宋_GB2312"/>
          <w:sz w:val="30"/>
          <w:szCs w:val="30"/>
        </w:rPr>
      </w:pPr>
      <w:r>
        <w:rPr>
          <w:rFonts w:ascii="Times New Roman" w:hAnsi="Times New Roman" w:eastAsia="仿宋_GB2312"/>
          <w:sz w:val="30"/>
          <w:szCs w:val="30"/>
        </w:rPr>
        <w:t>第二转换证书，也是当前及未来一段时间的安排（中期安排），即第一类证书——强制性证书。</w:t>
      </w:r>
    </w:p>
    <w:p>
      <w:pPr>
        <w:ind w:firstLine="585"/>
        <w:rPr>
          <w:rFonts w:ascii="Times New Roman" w:hAnsi="Times New Roman" w:eastAsia="仿宋_GB2312"/>
          <w:sz w:val="30"/>
          <w:szCs w:val="30"/>
        </w:rPr>
      </w:pPr>
      <w:r>
        <w:rPr>
          <w:rFonts w:ascii="Times New Roman" w:hAnsi="Times New Roman" w:eastAsia="仿宋_GB2312"/>
          <w:sz w:val="30"/>
          <w:szCs w:val="30"/>
        </w:rPr>
        <w:t>第三转换证书，也是中远期安排，即第四类证书——项目证书。</w:t>
      </w:r>
    </w:p>
    <w:p>
      <w:pPr>
        <w:ind w:firstLine="585"/>
        <w:rPr>
          <w:rFonts w:ascii="Times New Roman" w:hAnsi="Times New Roman" w:eastAsia="仿宋_GB2312"/>
          <w:sz w:val="30"/>
          <w:szCs w:val="30"/>
        </w:rPr>
      </w:pPr>
      <w:r>
        <w:rPr>
          <w:rFonts w:ascii="Times New Roman" w:hAnsi="Times New Roman" w:eastAsia="仿宋_GB2312"/>
          <w:sz w:val="30"/>
          <w:szCs w:val="30"/>
        </w:rPr>
        <w:t>第四转换证书，也是远期安排，即第三类证书——国家职业大典中职业证书。</w:t>
      </w:r>
    </w:p>
    <w:p>
      <w:pPr>
        <w:ind w:firstLine="585"/>
        <w:rPr>
          <w:rFonts w:ascii="Times New Roman" w:hAnsi="Times New Roman" w:eastAsia="仿宋_GB2312"/>
          <w:b/>
          <w:bCs/>
          <w:sz w:val="30"/>
          <w:szCs w:val="30"/>
        </w:rPr>
      </w:pPr>
      <w:r>
        <w:rPr>
          <w:rFonts w:ascii="Times New Roman" w:hAnsi="Times New Roman" w:eastAsia="仿宋_GB2312"/>
          <w:b/>
          <w:bCs/>
          <w:sz w:val="30"/>
          <w:szCs w:val="30"/>
        </w:rPr>
        <w:t>4.煤炭学院办学实践</w:t>
      </w:r>
    </w:p>
    <w:p>
      <w:pPr>
        <w:ind w:firstLine="585"/>
        <w:rPr>
          <w:rFonts w:ascii="Times New Roman" w:hAnsi="Times New Roman" w:eastAsia="仿宋_GB2312"/>
          <w:sz w:val="30"/>
          <w:szCs w:val="30"/>
        </w:rPr>
      </w:pPr>
      <w:r>
        <w:rPr>
          <w:rFonts w:ascii="Times New Roman" w:hAnsi="Times New Roman" w:eastAsia="仿宋_GB2312"/>
          <w:sz w:val="30"/>
          <w:szCs w:val="30"/>
        </w:rPr>
        <w:t>作为行业学院，国家开放大学煤炭学院由中国煤炭工业协会培训中心承办，具有以下办学实践：</w:t>
      </w:r>
    </w:p>
    <w:p>
      <w:pPr>
        <w:ind w:firstLine="585"/>
        <w:rPr>
          <w:rFonts w:ascii="Times New Roman" w:hAnsi="Times New Roman" w:eastAsia="仿宋_GB2312"/>
          <w:sz w:val="30"/>
          <w:szCs w:val="30"/>
        </w:rPr>
      </w:pPr>
      <w:r>
        <w:rPr>
          <w:rFonts w:ascii="Times New Roman" w:hAnsi="Times New Roman" w:eastAsia="仿宋_GB2312"/>
          <w:sz w:val="30"/>
          <w:szCs w:val="30"/>
        </w:rPr>
        <w:t>（1）2004年—2006年，和中国矿业大学联合开办采矿、矿山机电、矿山地质与测量、矿山安全等四个主体专业，专、本两个层次的课程进修班，共培养了1584人。</w:t>
      </w:r>
    </w:p>
    <w:p>
      <w:pPr>
        <w:ind w:firstLine="585"/>
        <w:rPr>
          <w:rFonts w:ascii="Times New Roman" w:hAnsi="Times New Roman" w:eastAsia="仿宋_GB2312"/>
          <w:sz w:val="30"/>
          <w:szCs w:val="30"/>
        </w:rPr>
      </w:pPr>
      <w:r>
        <w:rPr>
          <w:rFonts w:ascii="Times New Roman" w:hAnsi="Times New Roman" w:eastAsia="仿宋_GB2312"/>
          <w:sz w:val="30"/>
          <w:szCs w:val="30"/>
        </w:rPr>
        <w:t>（2）2012年—2013年，和中国石油大学（华东）共同举办机械设计制造及其自动化、安全工程等11个专升本，机电一体化技术、电气自动化技术、化工工艺等9个高起专专业的招生工作，共培养1801人。</w:t>
      </w:r>
    </w:p>
    <w:p>
      <w:pPr>
        <w:ind w:firstLine="585"/>
        <w:rPr>
          <w:rFonts w:ascii="Times New Roman" w:hAnsi="Times New Roman" w:eastAsia="仿宋_GB2312"/>
          <w:sz w:val="30"/>
          <w:szCs w:val="30"/>
        </w:rPr>
      </w:pPr>
      <w:r>
        <w:rPr>
          <w:rFonts w:ascii="Times New Roman" w:hAnsi="Times New Roman" w:eastAsia="仿宋_GB2312"/>
          <w:sz w:val="30"/>
          <w:szCs w:val="30"/>
        </w:rPr>
        <w:t>（3）经中组部干教局授权，开展行业工商管理培训，取证总人数13500人；开展煤炭行业职业经理人（煤炭行业标准）资格认证培训，取证人数6600余人；国家专业技术人才知识更新工程培训项目网络培训17万余人次；乌金蓝领工程网上培训班组长2742人；累计通过网络培训600多万人次。</w:t>
      </w:r>
    </w:p>
    <w:p>
      <w:pPr>
        <w:ind w:firstLine="585"/>
        <w:rPr>
          <w:rFonts w:ascii="Times New Roman" w:hAnsi="Times New Roman" w:eastAsia="仿宋_GB2312"/>
          <w:sz w:val="30"/>
          <w:szCs w:val="30"/>
        </w:rPr>
      </w:pPr>
      <w:r>
        <w:rPr>
          <w:rFonts w:ascii="Times New Roman" w:hAnsi="Times New Roman" w:eastAsia="仿宋_GB2312"/>
          <w:sz w:val="30"/>
          <w:szCs w:val="30"/>
        </w:rPr>
        <w:t>（4）煤炭远教网网络已覆盖全国20余个省（区、市）的大型特大型煤炭企业近80%，平均每年制作播出近2000课时课程，资源总量达9635课时。出版了煤炭行业5大领域34本国家专业技术人才知识更新工程教材、4本煤矿班组长培训教材、12本工商管理和煤炭行业职业经理人指定培训教材。</w:t>
      </w:r>
    </w:p>
    <w:p>
      <w:pPr>
        <w:ind w:firstLine="585"/>
        <w:rPr>
          <w:rFonts w:ascii="Times New Roman" w:hAnsi="Times New Roman" w:eastAsia="仿宋_GB2312"/>
          <w:b/>
          <w:bCs/>
          <w:sz w:val="30"/>
          <w:szCs w:val="30"/>
        </w:rPr>
      </w:pPr>
      <w:r>
        <w:rPr>
          <w:rFonts w:ascii="Times New Roman" w:hAnsi="Times New Roman" w:eastAsia="仿宋_GB2312"/>
          <w:b/>
          <w:bCs/>
          <w:sz w:val="30"/>
          <w:szCs w:val="30"/>
        </w:rPr>
        <w:t>5.煤炭学院办学特点</w:t>
      </w:r>
    </w:p>
    <w:p>
      <w:pPr>
        <w:ind w:firstLine="585"/>
        <w:rPr>
          <w:rFonts w:ascii="Times New Roman" w:hAnsi="Times New Roman" w:eastAsia="仿宋_GB2312"/>
          <w:sz w:val="30"/>
          <w:szCs w:val="30"/>
        </w:rPr>
      </w:pPr>
      <w:r>
        <w:rPr>
          <w:rFonts w:ascii="Times New Roman" w:hAnsi="Times New Roman" w:eastAsia="仿宋_GB2312"/>
          <w:sz w:val="30"/>
          <w:szCs w:val="30"/>
        </w:rPr>
        <w:t>（1）面向就业，无缝对接</w:t>
      </w:r>
    </w:p>
    <w:p>
      <w:pPr>
        <w:ind w:firstLine="585"/>
        <w:rPr>
          <w:rFonts w:ascii="Times New Roman" w:hAnsi="Times New Roman" w:eastAsia="仿宋_GB2312"/>
          <w:sz w:val="30"/>
          <w:szCs w:val="30"/>
        </w:rPr>
      </w:pPr>
      <w:r>
        <w:rPr>
          <w:rFonts w:ascii="Times New Roman" w:hAnsi="Times New Roman" w:eastAsia="仿宋_GB2312"/>
          <w:sz w:val="30"/>
          <w:szCs w:val="30"/>
        </w:rPr>
        <w:t>中国煤炭工业协会会员单位既是煤矿开采技术专业的生源保障，更是采矿工程专业毕业学生的就业渠道。</w:t>
      </w:r>
    </w:p>
    <w:p>
      <w:pPr>
        <w:ind w:firstLine="585"/>
        <w:rPr>
          <w:rFonts w:ascii="Times New Roman" w:hAnsi="Times New Roman" w:eastAsia="仿宋_GB2312"/>
          <w:sz w:val="30"/>
          <w:szCs w:val="30"/>
        </w:rPr>
      </w:pPr>
      <w:r>
        <w:rPr>
          <w:rFonts w:ascii="Times New Roman" w:hAnsi="Times New Roman" w:eastAsia="仿宋_GB2312"/>
          <w:sz w:val="30"/>
          <w:szCs w:val="30"/>
        </w:rPr>
        <w:t>（2）产教融合，突出特色</w:t>
      </w:r>
    </w:p>
    <w:p>
      <w:pPr>
        <w:ind w:firstLine="585"/>
        <w:rPr>
          <w:rFonts w:ascii="Times New Roman" w:hAnsi="Times New Roman" w:eastAsia="仿宋_GB2312"/>
          <w:sz w:val="30"/>
          <w:szCs w:val="30"/>
        </w:rPr>
      </w:pPr>
      <w:r>
        <w:rPr>
          <w:rFonts w:ascii="Times New Roman" w:hAnsi="Times New Roman" w:eastAsia="仿宋_GB2312"/>
          <w:sz w:val="30"/>
          <w:szCs w:val="30"/>
        </w:rPr>
        <w:t>煤炭学院将突出行业学院办学特色，实施“特色学院、特色学科、特色专业”建设计划。强化校企协同育人，大力推进产教一体化办学，形成相关利益方参与的社会共建机制。</w:t>
      </w:r>
    </w:p>
    <w:p>
      <w:pPr>
        <w:ind w:firstLine="585"/>
        <w:rPr>
          <w:rFonts w:ascii="Times New Roman" w:hAnsi="Times New Roman" w:eastAsia="仿宋_GB2312"/>
          <w:sz w:val="30"/>
          <w:szCs w:val="30"/>
        </w:rPr>
      </w:pPr>
      <w:r>
        <w:rPr>
          <w:rFonts w:ascii="Times New Roman" w:hAnsi="Times New Roman" w:eastAsia="仿宋_GB2312"/>
          <w:sz w:val="30"/>
          <w:szCs w:val="30"/>
        </w:rPr>
        <w:t>（3）建设“双师型”教师队伍</w:t>
      </w:r>
    </w:p>
    <w:p>
      <w:pPr>
        <w:ind w:firstLine="585"/>
        <w:rPr>
          <w:rFonts w:ascii="Times New Roman" w:hAnsi="Times New Roman" w:eastAsia="仿宋_GB2312"/>
          <w:sz w:val="30"/>
          <w:szCs w:val="30"/>
        </w:rPr>
      </w:pPr>
      <w:r>
        <w:rPr>
          <w:rFonts w:ascii="Times New Roman" w:hAnsi="Times New Roman" w:eastAsia="仿宋_GB2312"/>
          <w:sz w:val="30"/>
          <w:szCs w:val="30"/>
        </w:rPr>
        <w:t>煤炭学院拥有上百名来自高校、企业、科研机构的知名专家队伍，学院的任课教师将从专家队伍中择优聘用。实施以专业带头人为核心，专兼结合、结构合理、动态组合、团结协作的团队组织模式。这些专家有深厚扎实的理论知识，有一线工作的丰富经验，更有对行业、企业现状的深刻认知，授课内容理论结合实际并侧重于应用，因而更适合职业继续教育的个性需求。</w:t>
      </w:r>
    </w:p>
    <w:p>
      <w:pPr>
        <w:ind w:firstLine="585"/>
        <w:rPr>
          <w:rFonts w:ascii="Times New Roman" w:hAnsi="Times New Roman" w:eastAsia="仿宋_GB2312"/>
          <w:sz w:val="30"/>
          <w:szCs w:val="30"/>
        </w:rPr>
      </w:pPr>
      <w:r>
        <w:rPr>
          <w:rFonts w:ascii="Times New Roman" w:hAnsi="Times New Roman" w:eastAsia="仿宋_GB2312"/>
          <w:sz w:val="30"/>
          <w:szCs w:val="30"/>
        </w:rPr>
        <w:t>实施专业教学团队建设、兼职教师资源库建设和教学名师、专业教学能手、教坛新秀培养“五项工程”，以教师整体素质提高为中心，以“双师型”教师队伍建设为重点，培养、引进、聘请相结合，院企互通，共同打造素质优良、结构合理、专兼结合的“双师型”优秀专业教学团队。</w:t>
      </w:r>
    </w:p>
    <w:p>
      <w:pPr>
        <w:ind w:firstLine="585"/>
        <w:rPr>
          <w:rFonts w:ascii="Times New Roman" w:hAnsi="Times New Roman" w:eastAsia="仿宋_GB2312"/>
          <w:sz w:val="30"/>
          <w:szCs w:val="30"/>
        </w:rPr>
      </w:pPr>
      <w:r>
        <w:rPr>
          <w:rFonts w:ascii="Times New Roman" w:hAnsi="Times New Roman" w:eastAsia="仿宋_GB2312"/>
          <w:sz w:val="30"/>
          <w:szCs w:val="30"/>
        </w:rPr>
        <w:t>（4）创建行业创新性实践基地</w:t>
      </w:r>
    </w:p>
    <w:p>
      <w:pPr>
        <w:ind w:firstLine="600" w:firstLineChars="200"/>
        <w:rPr>
          <w:rFonts w:ascii="Times New Roman" w:hAnsi="Times New Roman" w:eastAsia="仿宋_GB2312"/>
          <w:sz w:val="30"/>
          <w:szCs w:val="30"/>
        </w:rPr>
      </w:pPr>
      <w:r>
        <w:rPr>
          <w:rFonts w:ascii="Times New Roman" w:hAnsi="Times New Roman" w:eastAsia="仿宋_GB2312"/>
          <w:sz w:val="30"/>
          <w:szCs w:val="30"/>
        </w:rPr>
        <w:t>建立教学产品研发相应组织机构（大师工作室、教学产品设计室、专业教师工作站、企业专家工作站等）。结合本专业建设，根据实训基地现有条件，完成生产工艺全部生产活动的标准、规范、制度设计。</w:t>
      </w:r>
    </w:p>
    <w:p>
      <w:pPr>
        <w:ind w:firstLine="585"/>
        <w:rPr>
          <w:rFonts w:ascii="Times New Roman" w:hAnsi="Times New Roman" w:eastAsia="仿宋_GB2312"/>
          <w:sz w:val="30"/>
          <w:szCs w:val="30"/>
        </w:rPr>
      </w:pPr>
      <w:r>
        <w:rPr>
          <w:rFonts w:ascii="Times New Roman" w:hAnsi="Times New Roman" w:eastAsia="仿宋_GB2312"/>
          <w:sz w:val="30"/>
          <w:szCs w:val="30"/>
        </w:rPr>
        <w:t>按照所研发的本专业教学产品生产需求，整合现有实训教学资源，通过链接生产全过程的设施设备购置、生产设备调试运行、生产企业管理模式引入等，打造行业实训基地生产环境。结合以教学产品为纽带的生产性校内实训基地建设，推动全方位、深层次的教育教学改革，实施专业教师实践性教学能力提升培训。结合以教学产品为纽带的生产性校内实训基地建设，提升煤炭学院服务地方经济、服务企业需求的能力，快速提高服务质量。</w:t>
      </w:r>
    </w:p>
    <w:p>
      <w:pPr>
        <w:pStyle w:val="2"/>
        <w:spacing w:beforeLines="50" w:afterLines="50" w:line="500" w:lineRule="exact"/>
        <w:ind w:firstLine="596" w:firstLineChars="198"/>
        <w:rPr>
          <w:rFonts w:ascii="Times New Roman" w:hAnsi="Times New Roman" w:cs="Times New Roman"/>
          <w:sz w:val="30"/>
          <w:szCs w:val="30"/>
        </w:rPr>
      </w:pPr>
      <w:bookmarkStart w:id="12" w:name="_Toc423019093"/>
      <w:r>
        <w:rPr>
          <w:rFonts w:ascii="Times New Roman" w:hAnsi="Times New Roman" w:cs="Times New Roman"/>
          <w:sz w:val="30"/>
          <w:szCs w:val="30"/>
        </w:rPr>
        <w:t>四、可行性分析报告结论</w:t>
      </w:r>
      <w:bookmarkEnd w:id="12"/>
    </w:p>
    <w:p>
      <w:pPr>
        <w:ind w:firstLine="585"/>
        <w:rPr>
          <w:rFonts w:ascii="Times New Roman" w:hAnsi="Times New Roman" w:eastAsia="仿宋_GB2312"/>
          <w:sz w:val="30"/>
          <w:szCs w:val="30"/>
        </w:rPr>
      </w:pPr>
      <w:r>
        <w:rPr>
          <w:rFonts w:ascii="Times New Roman" w:hAnsi="Times New Roman" w:eastAsia="仿宋_GB2312"/>
          <w:sz w:val="30"/>
          <w:szCs w:val="30"/>
        </w:rPr>
        <w:t>综上所述，国家开放大学煤炭学院煤矿开采技术专业（专科）的开设条件已经具备，且时机成熟，故恳请尽快批准开设此专业，并于2015年秋季实施试招生工作。</w:t>
      </w:r>
    </w:p>
    <w:p>
      <w:pPr>
        <w:ind w:firstLine="585"/>
        <w:rPr>
          <w:rFonts w:ascii="Times New Roman" w:hAnsi="Times New Roman" w:eastAsia="仿宋_GB2312"/>
          <w:sz w:val="30"/>
          <w:szCs w:val="30"/>
        </w:rPr>
      </w:pPr>
    </w:p>
    <w:p>
      <w:pPr>
        <w:ind w:firstLine="585"/>
        <w:rPr>
          <w:rFonts w:ascii="Times New Roman" w:hAnsi="Times New Roman" w:eastAsia="仿宋_GB2312"/>
          <w:sz w:val="30"/>
          <w:szCs w:val="30"/>
        </w:rPr>
      </w:pPr>
    </w:p>
    <w:p>
      <w:pPr>
        <w:ind w:firstLine="585"/>
        <w:rPr>
          <w:rFonts w:ascii="Times New Roman" w:hAnsi="Times New Roman" w:eastAsia="仿宋_GB2312"/>
          <w:sz w:val="30"/>
          <w:szCs w:val="30"/>
        </w:rPr>
      </w:pPr>
    </w:p>
    <w:p>
      <w:pPr>
        <w:ind w:firstLine="585"/>
        <w:rPr>
          <w:rFonts w:ascii="Times New Roman" w:hAnsi="Times New Roman" w:eastAsia="仿宋_GB2312"/>
          <w:sz w:val="30"/>
          <w:szCs w:val="30"/>
        </w:rPr>
      </w:pPr>
    </w:p>
    <w:p>
      <w:pPr>
        <w:ind w:firstLine="585"/>
        <w:rPr>
          <w:rFonts w:ascii="Times New Roman" w:hAnsi="Times New Roman" w:eastAsia="仿宋_GB2312"/>
          <w:sz w:val="30"/>
          <w:szCs w:val="30"/>
        </w:rPr>
      </w:pPr>
    </w:p>
    <w:p>
      <w:pPr>
        <w:ind w:firstLine="4035" w:firstLineChars="1345"/>
        <w:rPr>
          <w:rFonts w:ascii="Times New Roman" w:hAnsi="Times New Roman" w:eastAsia="仿宋_GB2312"/>
          <w:sz w:val="30"/>
          <w:szCs w:val="30"/>
        </w:rPr>
      </w:pPr>
      <w:r>
        <w:rPr>
          <w:rFonts w:ascii="Times New Roman" w:hAnsi="Times New Roman" w:eastAsia="仿宋_GB2312"/>
          <w:sz w:val="30"/>
          <w:szCs w:val="30"/>
        </w:rPr>
        <w:t>国家开放大学煤炭学院</w:t>
      </w:r>
    </w:p>
    <w:p>
      <w:pPr>
        <w:ind w:firstLine="4335" w:firstLineChars="1445"/>
        <w:rPr>
          <w:rFonts w:ascii="Times New Roman" w:hAnsi="Times New Roman" w:eastAsia="仿宋_GB2312"/>
          <w:sz w:val="30"/>
          <w:szCs w:val="30"/>
        </w:rPr>
      </w:pPr>
      <w:r>
        <w:rPr>
          <w:rFonts w:ascii="Times New Roman" w:hAnsi="Times New Roman" w:eastAsia="仿宋_GB2312"/>
          <w:sz w:val="30"/>
          <w:szCs w:val="30"/>
        </w:rPr>
        <w:t>2015年</w:t>
      </w:r>
      <w:r>
        <w:rPr>
          <w:rFonts w:hint="eastAsia" w:ascii="Times New Roman" w:hAnsi="Times New Roman" w:eastAsia="仿宋_GB2312"/>
          <w:sz w:val="30"/>
          <w:szCs w:val="30"/>
        </w:rPr>
        <w:t>8</w:t>
      </w:r>
      <w:r>
        <w:rPr>
          <w:rFonts w:ascii="Times New Roman" w:hAnsi="Times New Roman" w:eastAsia="仿宋_GB2312"/>
          <w:sz w:val="30"/>
          <w:szCs w:val="30"/>
        </w:rPr>
        <w:t>月</w:t>
      </w:r>
      <w:r>
        <w:rPr>
          <w:rFonts w:hint="eastAsia" w:ascii="Times New Roman" w:hAnsi="Times New Roman" w:eastAsia="仿宋_GB2312"/>
          <w:sz w:val="30"/>
          <w:szCs w:val="30"/>
        </w:rPr>
        <w:t>10</w:t>
      </w:r>
      <w:r>
        <w:rPr>
          <w:rFonts w:ascii="Times New Roman" w:hAnsi="Times New Roman" w:eastAsia="仿宋_GB2312"/>
          <w:sz w:val="30"/>
          <w:szCs w:val="30"/>
        </w:rPr>
        <w:t>日</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r>
        <w:rPr>
          <w:rFonts w:ascii="Times New Roman" w:hAnsi="Times New Roman"/>
        </w:rPr>
        <w:br w:type="page"/>
      </w:r>
    </w:p>
    <w:p>
      <w:pPr>
        <w:pStyle w:val="2"/>
        <w:spacing w:before="0" w:after="0"/>
        <w:ind w:firstLine="721"/>
        <w:jc w:val="center"/>
        <w:rPr>
          <w:rFonts w:ascii="Times New Roman" w:hAnsi="Times New Roman" w:eastAsia="华文中宋" w:cs="Times New Roman"/>
          <w:sz w:val="36"/>
          <w:szCs w:val="36"/>
        </w:rPr>
      </w:pPr>
      <w:bookmarkStart w:id="13" w:name="_Toc423019094"/>
      <w:r>
        <w:rPr>
          <w:rFonts w:ascii="Times New Roman" w:hAnsi="Times New Roman" w:eastAsia="华文中宋" w:cs="Times New Roman"/>
          <w:sz w:val="36"/>
          <w:szCs w:val="36"/>
        </w:rPr>
        <w:t>第二部分国家开放大学专业设置申请表</w:t>
      </w:r>
      <w:bookmarkEnd w:id="13"/>
    </w:p>
    <w:tbl>
      <w:tblPr>
        <w:tblStyle w:val="21"/>
        <w:tblW w:w="9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786"/>
        <w:gridCol w:w="1437"/>
        <w:gridCol w:w="1398"/>
        <w:gridCol w:w="226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1277" w:type="dxa"/>
            <w:vAlign w:val="center"/>
          </w:tcPr>
          <w:p>
            <w:pPr>
              <w:jc w:val="center"/>
              <w:rPr>
                <w:rFonts w:ascii="Times New Roman" w:hAnsi="Times New Roman" w:eastAsia="黑体"/>
                <w:b/>
                <w:color w:val="000000"/>
                <w:kern w:val="0"/>
                <w:sz w:val="24"/>
              </w:rPr>
            </w:pPr>
            <w:r>
              <w:rPr>
                <w:rFonts w:ascii="Times New Roman" w:hAnsi="Times New Roman" w:eastAsia="黑体"/>
                <w:b/>
                <w:color w:val="000000"/>
                <w:kern w:val="0"/>
                <w:sz w:val="24"/>
              </w:rPr>
              <w:t>申请单位</w:t>
            </w:r>
          </w:p>
        </w:tc>
        <w:tc>
          <w:tcPr>
            <w:tcW w:w="1786" w:type="dxa"/>
            <w:vAlign w:val="center"/>
          </w:tcPr>
          <w:p>
            <w:pPr>
              <w:jc w:val="center"/>
              <w:rPr>
                <w:rFonts w:ascii="Times New Roman" w:hAnsi="Times New Roman" w:eastAsia="华文中宋"/>
                <w:color w:val="000000"/>
                <w:kern w:val="0"/>
                <w:sz w:val="24"/>
              </w:rPr>
            </w:pPr>
            <w:r>
              <w:rPr>
                <w:rFonts w:ascii="Times New Roman" w:hAnsi="Times New Roman" w:eastAsia="华文中宋"/>
                <w:color w:val="000000"/>
                <w:kern w:val="0"/>
                <w:sz w:val="24"/>
              </w:rPr>
              <w:t>煤炭学院</w:t>
            </w:r>
          </w:p>
        </w:tc>
        <w:tc>
          <w:tcPr>
            <w:tcW w:w="2835" w:type="dxa"/>
            <w:gridSpan w:val="2"/>
            <w:vAlign w:val="center"/>
          </w:tcPr>
          <w:p>
            <w:pPr>
              <w:jc w:val="center"/>
              <w:rPr>
                <w:rFonts w:ascii="Times New Roman" w:hAnsi="Times New Roman" w:eastAsia="黑体"/>
                <w:b/>
                <w:color w:val="000000"/>
                <w:kern w:val="0"/>
                <w:sz w:val="24"/>
              </w:rPr>
            </w:pPr>
            <w:r>
              <w:rPr>
                <w:rFonts w:ascii="Times New Roman" w:hAnsi="Times New Roman" w:eastAsia="黑体"/>
                <w:b/>
                <w:color w:val="000000"/>
                <w:kern w:val="0"/>
                <w:sz w:val="24"/>
              </w:rPr>
              <w:t>专业名称</w:t>
            </w:r>
          </w:p>
        </w:tc>
        <w:tc>
          <w:tcPr>
            <w:tcW w:w="3827" w:type="dxa"/>
            <w:gridSpan w:val="2"/>
            <w:vAlign w:val="center"/>
          </w:tcPr>
          <w:p>
            <w:pPr>
              <w:jc w:val="center"/>
              <w:rPr>
                <w:rFonts w:ascii="Times New Roman" w:hAnsi="Times New Roman" w:eastAsia="华文中宋"/>
                <w:color w:val="000000"/>
                <w:kern w:val="0"/>
                <w:sz w:val="24"/>
              </w:rPr>
            </w:pPr>
            <w:r>
              <w:rPr>
                <w:rFonts w:ascii="Times New Roman" w:hAnsi="Times New Roman" w:eastAsia="华文中宋"/>
                <w:color w:val="000000"/>
                <w:kern w:val="0"/>
                <w:sz w:val="24"/>
              </w:rPr>
              <w:t>煤矿开采技术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exact"/>
          <w:jc w:val="center"/>
        </w:trPr>
        <w:tc>
          <w:tcPr>
            <w:tcW w:w="1277" w:type="dxa"/>
            <w:vAlign w:val="center"/>
          </w:tcPr>
          <w:p>
            <w:pPr>
              <w:jc w:val="center"/>
              <w:rPr>
                <w:rFonts w:ascii="Times New Roman" w:hAnsi="Times New Roman" w:eastAsia="黑体"/>
                <w:b/>
                <w:color w:val="000000"/>
                <w:kern w:val="0"/>
                <w:sz w:val="24"/>
              </w:rPr>
            </w:pPr>
            <w:r>
              <w:rPr>
                <w:rFonts w:ascii="Times New Roman" w:hAnsi="Times New Roman" w:eastAsia="黑体"/>
                <w:b/>
                <w:color w:val="000000"/>
                <w:kern w:val="0"/>
                <w:sz w:val="24"/>
              </w:rPr>
              <w:t>学科门类</w:t>
            </w:r>
          </w:p>
        </w:tc>
        <w:tc>
          <w:tcPr>
            <w:tcW w:w="1786" w:type="dxa"/>
            <w:vAlign w:val="center"/>
          </w:tcPr>
          <w:p>
            <w:pPr>
              <w:jc w:val="center"/>
              <w:rPr>
                <w:rFonts w:ascii="Times New Roman" w:hAnsi="Times New Roman" w:eastAsia="华文中宋"/>
                <w:color w:val="000000"/>
                <w:kern w:val="0"/>
                <w:szCs w:val="21"/>
              </w:rPr>
            </w:pPr>
            <w:r>
              <w:rPr>
                <w:rFonts w:ascii="Times New Roman" w:hAnsi="Times New Roman" w:eastAsia="华文中宋"/>
                <w:color w:val="000000"/>
                <w:kern w:val="0"/>
                <w:szCs w:val="21"/>
              </w:rPr>
              <w:t>矿业工程类</w:t>
            </w:r>
          </w:p>
          <w:p>
            <w:pPr>
              <w:jc w:val="center"/>
              <w:rPr>
                <w:rFonts w:ascii="Times New Roman" w:hAnsi="Times New Roman" w:eastAsia="华文中宋"/>
                <w:color w:val="000000"/>
                <w:kern w:val="0"/>
                <w:sz w:val="24"/>
              </w:rPr>
            </w:pPr>
            <w:r>
              <w:rPr>
                <w:rFonts w:ascii="Times New Roman" w:hAnsi="Times New Roman" w:eastAsia="华文中宋"/>
                <w:color w:val="000000"/>
                <w:kern w:val="0"/>
                <w:szCs w:val="21"/>
              </w:rPr>
              <w:t>资源开发与测绘</w:t>
            </w:r>
            <w:r>
              <w:rPr>
                <w:rFonts w:ascii="Times New Roman" w:hAnsi="Times New Roman" w:eastAsia="华文中宋"/>
                <w:color w:val="000000"/>
                <w:kern w:val="0"/>
                <w:sz w:val="24"/>
              </w:rPr>
              <w:t>资源开发与测绘</w:t>
            </w:r>
          </w:p>
        </w:tc>
        <w:tc>
          <w:tcPr>
            <w:tcW w:w="1437" w:type="dxa"/>
            <w:vAlign w:val="center"/>
          </w:tcPr>
          <w:p>
            <w:pPr>
              <w:jc w:val="center"/>
              <w:rPr>
                <w:rFonts w:ascii="Times New Roman" w:hAnsi="Times New Roman" w:eastAsia="黑体"/>
                <w:b/>
                <w:color w:val="000000"/>
                <w:kern w:val="0"/>
                <w:sz w:val="24"/>
              </w:rPr>
            </w:pPr>
            <w:r>
              <w:rPr>
                <w:rFonts w:ascii="Times New Roman" w:hAnsi="Times New Roman" w:eastAsia="黑体"/>
                <w:b/>
                <w:color w:val="000000"/>
                <w:kern w:val="0"/>
                <w:sz w:val="24"/>
              </w:rPr>
              <w:t>专业代码</w:t>
            </w:r>
          </w:p>
        </w:tc>
        <w:tc>
          <w:tcPr>
            <w:tcW w:w="1398" w:type="dxa"/>
            <w:vAlign w:val="center"/>
          </w:tcPr>
          <w:p>
            <w:pPr>
              <w:jc w:val="center"/>
              <w:rPr>
                <w:rFonts w:ascii="Times New Roman" w:hAnsi="Times New Roman" w:eastAsia="华文中宋"/>
                <w:color w:val="000000"/>
                <w:kern w:val="0"/>
                <w:sz w:val="24"/>
              </w:rPr>
            </w:pPr>
            <w:r>
              <w:rPr>
                <w:rFonts w:ascii="Times New Roman" w:hAnsi="Times New Roman" w:eastAsia="华文中宋"/>
                <w:color w:val="000000"/>
                <w:kern w:val="0"/>
                <w:sz w:val="24"/>
              </w:rPr>
              <w:t>540301</w:t>
            </w:r>
          </w:p>
        </w:tc>
        <w:tc>
          <w:tcPr>
            <w:tcW w:w="2268" w:type="dxa"/>
            <w:vAlign w:val="center"/>
          </w:tcPr>
          <w:p>
            <w:pPr>
              <w:jc w:val="center"/>
              <w:rPr>
                <w:rFonts w:ascii="Times New Roman" w:hAnsi="Times New Roman" w:eastAsia="黑体"/>
                <w:b/>
                <w:color w:val="000000"/>
                <w:kern w:val="0"/>
                <w:sz w:val="24"/>
              </w:rPr>
            </w:pPr>
            <w:r>
              <w:rPr>
                <w:rFonts w:ascii="Times New Roman" w:hAnsi="Times New Roman" w:eastAsia="黑体"/>
                <w:b/>
                <w:color w:val="000000"/>
                <w:kern w:val="0"/>
                <w:sz w:val="24"/>
              </w:rPr>
              <w:t>专业层次</w:t>
            </w:r>
          </w:p>
        </w:tc>
        <w:tc>
          <w:tcPr>
            <w:tcW w:w="1559" w:type="dxa"/>
            <w:vAlign w:val="center"/>
          </w:tcPr>
          <w:p>
            <w:pPr>
              <w:jc w:val="center"/>
              <w:rPr>
                <w:rFonts w:ascii="Times New Roman" w:hAnsi="Times New Roman" w:eastAsia="华文中宋"/>
                <w:sz w:val="24"/>
              </w:rPr>
            </w:pPr>
            <w:r>
              <w:rPr>
                <w:rFonts w:ascii="Times New Roman" w:hAnsi="Times New Roman" w:eastAsia="华文中宋"/>
                <w:sz w:val="24"/>
              </w:rPr>
              <w:t>专科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exact"/>
          <w:jc w:val="center"/>
        </w:trPr>
        <w:tc>
          <w:tcPr>
            <w:tcW w:w="1277" w:type="dxa"/>
            <w:vAlign w:val="center"/>
          </w:tcPr>
          <w:p>
            <w:pPr>
              <w:jc w:val="center"/>
              <w:rPr>
                <w:rFonts w:ascii="Times New Roman" w:hAnsi="Times New Roman" w:eastAsia="黑体"/>
                <w:b/>
                <w:color w:val="000000"/>
                <w:kern w:val="0"/>
                <w:sz w:val="24"/>
              </w:rPr>
            </w:pPr>
            <w:r>
              <w:rPr>
                <w:rFonts w:ascii="Times New Roman" w:hAnsi="Times New Roman" w:eastAsia="黑体"/>
                <w:b/>
                <w:color w:val="000000"/>
                <w:kern w:val="0"/>
                <w:sz w:val="24"/>
              </w:rPr>
              <w:t>学制</w:t>
            </w:r>
          </w:p>
        </w:tc>
        <w:tc>
          <w:tcPr>
            <w:tcW w:w="1786" w:type="dxa"/>
            <w:vAlign w:val="center"/>
          </w:tcPr>
          <w:p>
            <w:pPr>
              <w:jc w:val="center"/>
              <w:rPr>
                <w:rFonts w:ascii="Times New Roman" w:hAnsi="Times New Roman" w:eastAsia="华文中宋"/>
                <w:color w:val="000000"/>
                <w:kern w:val="0"/>
                <w:sz w:val="24"/>
              </w:rPr>
            </w:pPr>
            <w:r>
              <w:rPr>
                <w:rFonts w:ascii="Times New Roman" w:hAnsi="Times New Roman" w:eastAsia="华文中宋"/>
                <w:sz w:val="24"/>
              </w:rPr>
              <w:t>2年</w:t>
            </w:r>
          </w:p>
        </w:tc>
        <w:tc>
          <w:tcPr>
            <w:tcW w:w="1437" w:type="dxa"/>
            <w:vAlign w:val="center"/>
          </w:tcPr>
          <w:p>
            <w:pPr>
              <w:jc w:val="center"/>
              <w:rPr>
                <w:rFonts w:ascii="Times New Roman" w:hAnsi="Times New Roman" w:eastAsia="黑体"/>
                <w:b/>
                <w:color w:val="000000"/>
                <w:kern w:val="0"/>
                <w:sz w:val="24"/>
              </w:rPr>
            </w:pPr>
            <w:r>
              <w:rPr>
                <w:rFonts w:ascii="Times New Roman" w:hAnsi="Times New Roman" w:eastAsia="黑体"/>
                <w:b/>
                <w:color w:val="000000"/>
                <w:kern w:val="0"/>
                <w:sz w:val="24"/>
              </w:rPr>
              <w:t>拟开出时间</w:t>
            </w:r>
          </w:p>
        </w:tc>
        <w:tc>
          <w:tcPr>
            <w:tcW w:w="1398" w:type="dxa"/>
            <w:vAlign w:val="center"/>
          </w:tcPr>
          <w:p>
            <w:pPr>
              <w:rPr>
                <w:rFonts w:ascii="Times New Roman" w:hAnsi="Times New Roman" w:eastAsia="华文中宋"/>
                <w:color w:val="000000"/>
                <w:kern w:val="0"/>
                <w:sz w:val="24"/>
              </w:rPr>
            </w:pPr>
            <w:r>
              <w:rPr>
                <w:rFonts w:ascii="Times New Roman" w:hAnsi="Times New Roman" w:eastAsia="华文中宋"/>
                <w:color w:val="000000"/>
                <w:kern w:val="0"/>
                <w:sz w:val="24"/>
              </w:rPr>
              <w:t>2015年秋</w:t>
            </w:r>
          </w:p>
        </w:tc>
        <w:tc>
          <w:tcPr>
            <w:tcW w:w="2268" w:type="dxa"/>
            <w:vAlign w:val="center"/>
          </w:tcPr>
          <w:p>
            <w:pPr>
              <w:jc w:val="center"/>
              <w:rPr>
                <w:rFonts w:ascii="Times New Roman" w:hAnsi="Times New Roman" w:eastAsia="黑体"/>
                <w:b/>
                <w:color w:val="000000"/>
                <w:kern w:val="0"/>
                <w:sz w:val="24"/>
              </w:rPr>
            </w:pPr>
            <w:r>
              <w:rPr>
                <w:rFonts w:ascii="Times New Roman" w:hAnsi="Times New Roman" w:eastAsia="黑体"/>
                <w:b/>
                <w:color w:val="000000"/>
                <w:kern w:val="0"/>
                <w:sz w:val="24"/>
              </w:rPr>
              <w:t>启动调研论证时间</w:t>
            </w:r>
          </w:p>
        </w:tc>
        <w:tc>
          <w:tcPr>
            <w:tcW w:w="1559" w:type="dxa"/>
            <w:vAlign w:val="center"/>
          </w:tcPr>
          <w:p>
            <w:pPr>
              <w:rPr>
                <w:rFonts w:ascii="Times New Roman" w:hAnsi="Times New Roman" w:eastAsia="华文中宋"/>
                <w:color w:val="000000"/>
                <w:kern w:val="0"/>
                <w:sz w:val="24"/>
              </w:rPr>
            </w:pPr>
            <w:r>
              <w:rPr>
                <w:rFonts w:ascii="Times New Roman" w:hAnsi="Times New Roman" w:eastAsia="华文中宋"/>
                <w:color w:val="000000"/>
                <w:kern w:val="0"/>
                <w:sz w:val="24"/>
              </w:rPr>
              <w:t>2014年2月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9725" w:type="dxa"/>
            <w:gridSpan w:val="6"/>
            <w:vAlign w:val="center"/>
          </w:tcPr>
          <w:p>
            <w:pPr>
              <w:rPr>
                <w:rFonts w:ascii="Times New Roman" w:hAnsi="Times New Roman" w:eastAsia="华文中宋"/>
                <w:sz w:val="24"/>
              </w:rPr>
            </w:pPr>
            <w:r>
              <w:rPr>
                <w:rFonts w:ascii="Times New Roman" w:hAnsi="Times New Roman" w:eastAsia="黑体"/>
                <w:color w:val="000000"/>
                <w:kern w:val="0"/>
                <w:sz w:val="24"/>
              </w:rPr>
              <w:t>有无与非学历教育沟通的计划</w:t>
            </w:r>
            <w:r>
              <w:rPr>
                <w:rFonts w:ascii="Times New Roman" w:hAnsi="Times New Roman" w:eastAsia="华文中宋"/>
                <w:sz w:val="24"/>
              </w:rPr>
              <w:t>有（√）无（）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1" w:hRule="atLeast"/>
          <w:jc w:val="center"/>
        </w:trPr>
        <w:tc>
          <w:tcPr>
            <w:tcW w:w="9725" w:type="dxa"/>
            <w:gridSpan w:val="6"/>
          </w:tcPr>
          <w:p>
            <w:pPr>
              <w:spacing w:line="360" w:lineRule="exact"/>
              <w:rPr>
                <w:rFonts w:ascii="Times New Roman" w:hAnsi="Times New Roman" w:eastAsia="黑体"/>
                <w:b/>
                <w:sz w:val="24"/>
              </w:rPr>
            </w:pPr>
            <w:r>
              <w:rPr>
                <w:rFonts w:ascii="Times New Roman" w:hAnsi="Times New Roman" w:eastAsia="黑体"/>
                <w:b/>
                <w:sz w:val="24"/>
              </w:rPr>
              <w:t>已经开展的相关工作介绍：</w:t>
            </w:r>
          </w:p>
          <w:p>
            <w:pPr>
              <w:spacing w:line="360" w:lineRule="exact"/>
              <w:ind w:firstLine="600" w:firstLineChars="250"/>
              <w:rPr>
                <w:rFonts w:ascii="Times New Roman" w:hAnsi="Times New Roman" w:eastAsia="华文中宋"/>
                <w:sz w:val="24"/>
              </w:rPr>
            </w:pPr>
            <w:r>
              <w:rPr>
                <w:rFonts w:ascii="Times New Roman" w:hAnsi="Times New Roman" w:eastAsia="华文中宋"/>
                <w:sz w:val="24"/>
              </w:rPr>
              <w:t>1、2014年初，成立了以中国煤炭工业协会副会长、煤炭学院院长王虹桥为组长的工作组，组员包括煤炭成人院校、高等院校、职业院校、技能鉴定机构、企业培训部门的相关专家和领导，下设办公室负责日常事务。</w:t>
            </w:r>
          </w:p>
          <w:p>
            <w:pPr>
              <w:spacing w:line="360" w:lineRule="exact"/>
              <w:ind w:firstLine="600" w:firstLineChars="250"/>
              <w:rPr>
                <w:rFonts w:ascii="Times New Roman" w:hAnsi="Times New Roman" w:eastAsia="华文中宋"/>
                <w:b/>
                <w:sz w:val="24"/>
              </w:rPr>
            </w:pPr>
            <w:r>
              <w:rPr>
                <w:rFonts w:ascii="Times New Roman" w:hAnsi="Times New Roman" w:eastAsia="华文中宋"/>
                <w:sz w:val="24"/>
              </w:rPr>
              <w:t>2、2014年2月份，开始对行业、企业、院校进行广泛需求调研和专业开设情况调研，采用走访座谈、调查问卷、会议研讨、数据分析等方式方法，获取了关于专业建设的重要资料和信息。2014年3月，根据学院的总体规划目标，结合煤炭行业实际，在广泛调研的基础上，确定了从2015年秋季起进行煤矿开采技术专科学历教育招生的计划。</w:t>
            </w:r>
          </w:p>
          <w:p>
            <w:pPr>
              <w:spacing w:line="360" w:lineRule="exact"/>
              <w:ind w:firstLine="600"/>
              <w:rPr>
                <w:rFonts w:ascii="Times New Roman" w:hAnsi="Times New Roman" w:eastAsia="华文中宋"/>
                <w:sz w:val="24"/>
              </w:rPr>
            </w:pPr>
            <w:r>
              <w:rPr>
                <w:rFonts w:ascii="Times New Roman" w:hAnsi="Times New Roman" w:eastAsia="华文中宋"/>
                <w:sz w:val="24"/>
              </w:rPr>
              <w:t>3、2014年4月，分别邀请行业、学科、企业的专家，召开学习成果认证标准及证书转换研讨会，合理划分行业方向和职能；5月，完成采煤工（高级工）职业技能证书的学分转换标准制定工作；6月—7月，对标准进行修改并征求专家意见，形成评审方案。</w:t>
            </w:r>
          </w:p>
          <w:p>
            <w:pPr>
              <w:spacing w:line="360" w:lineRule="exact"/>
              <w:ind w:firstLine="600"/>
              <w:rPr>
                <w:rFonts w:ascii="Times New Roman" w:hAnsi="Times New Roman" w:eastAsia="华文中宋"/>
                <w:sz w:val="24"/>
              </w:rPr>
            </w:pPr>
            <w:r>
              <w:rPr>
                <w:rFonts w:ascii="Times New Roman" w:hAnsi="Times New Roman" w:eastAsia="华文中宋"/>
                <w:sz w:val="24"/>
              </w:rPr>
              <w:t>4、2014年9月，形成了专业培养方案初稿；2014年10月，开展培养方案征求意见，范围包括企事业单位、大中专院校以及企业主管、有需求的职工代表等；2014年12月，在全国煤炭行业职业教育大会上征求意见并进行研讨；2015年1月，再次修改方案；2015年2月，对修改的方案征求意见，形成评审方案；2015年3月，参加国家开放大学主持的学习成果认证标准审定会，经过专家的讨论，方案最终顺利通过。</w:t>
            </w:r>
          </w:p>
          <w:p>
            <w:pPr>
              <w:spacing w:line="360" w:lineRule="exact"/>
              <w:ind w:firstLine="600" w:firstLineChars="250"/>
              <w:rPr>
                <w:rFonts w:ascii="Times New Roman" w:hAnsi="Times New Roman" w:eastAsia="华文中宋"/>
                <w:color w:val="000000"/>
                <w:kern w:val="0"/>
                <w:sz w:val="24"/>
              </w:rPr>
            </w:pPr>
            <w:r>
              <w:rPr>
                <w:rFonts w:ascii="Times New Roman" w:hAnsi="Times New Roman" w:eastAsia="华文中宋"/>
                <w:sz w:val="24"/>
              </w:rPr>
              <w:t>5、开展了学习中心的预筹建工作。现有69家煤炭企业，40家煤炭院校申报国家开放大学煤炭学院学习中心。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6" w:hRule="atLeast"/>
          <w:jc w:val="center"/>
        </w:trPr>
        <w:tc>
          <w:tcPr>
            <w:tcW w:w="9725" w:type="dxa"/>
            <w:gridSpan w:val="6"/>
          </w:tcPr>
          <w:p>
            <w:pPr>
              <w:spacing w:beforeLines="50"/>
              <w:rPr>
                <w:rFonts w:ascii="Times New Roman" w:hAnsi="Times New Roman" w:eastAsia="黑体"/>
                <w:b/>
                <w:color w:val="000000"/>
                <w:kern w:val="0"/>
                <w:sz w:val="24"/>
              </w:rPr>
            </w:pPr>
            <w:r>
              <w:rPr>
                <w:rFonts w:ascii="Times New Roman" w:hAnsi="Times New Roman" w:eastAsia="黑体"/>
                <w:b/>
                <w:color w:val="000000"/>
                <w:kern w:val="0"/>
                <w:sz w:val="24"/>
              </w:rPr>
              <w:t>申请单位意见：</w:t>
            </w:r>
          </w:p>
          <w:p>
            <w:pPr>
              <w:ind w:firstLine="1920" w:firstLineChars="600"/>
              <w:jc w:val="left"/>
              <w:rPr>
                <w:rFonts w:ascii="Times New Roman" w:hAnsi="Times New Roman" w:eastAsia="华文中宋"/>
                <w:color w:val="000000"/>
                <w:kern w:val="0"/>
                <w:sz w:val="32"/>
                <w:szCs w:val="32"/>
              </w:rPr>
            </w:pPr>
          </w:p>
          <w:p>
            <w:pPr>
              <w:ind w:firstLine="1920" w:firstLineChars="600"/>
              <w:jc w:val="left"/>
              <w:rPr>
                <w:rFonts w:ascii="Times New Roman" w:hAnsi="Times New Roman" w:eastAsia="华文中宋"/>
                <w:color w:val="000000"/>
                <w:kern w:val="0"/>
                <w:sz w:val="32"/>
                <w:szCs w:val="32"/>
              </w:rPr>
            </w:pPr>
            <w:r>
              <w:rPr>
                <w:rFonts w:ascii="Times New Roman" w:hAnsi="Times New Roman" w:eastAsia="华文中宋"/>
                <w:color w:val="000000"/>
                <w:kern w:val="0"/>
                <w:sz w:val="32"/>
                <w:szCs w:val="32"/>
              </w:rPr>
              <w:t>同意上报，请给予支持。</w:t>
            </w:r>
          </w:p>
          <w:p>
            <w:pPr>
              <w:jc w:val="center"/>
              <w:rPr>
                <w:rFonts w:ascii="Times New Roman" w:hAnsi="Times New Roman" w:eastAsia="华文中宋"/>
                <w:color w:val="000000"/>
                <w:kern w:val="0"/>
                <w:sz w:val="24"/>
              </w:rPr>
            </w:pPr>
          </w:p>
          <w:p>
            <w:pPr>
              <w:jc w:val="center"/>
              <w:rPr>
                <w:rFonts w:ascii="Times New Roman" w:hAnsi="Times New Roman" w:eastAsia="华文中宋"/>
                <w:color w:val="000000"/>
                <w:kern w:val="0"/>
                <w:sz w:val="24"/>
              </w:rPr>
            </w:pPr>
            <w:r>
              <w:rPr>
                <w:rFonts w:hint="eastAsia" w:ascii="Times New Roman" w:hAnsi="Times New Roman" w:eastAsia="华文中宋"/>
                <w:color w:val="000000"/>
                <w:kern w:val="0"/>
                <w:sz w:val="24"/>
              </w:rPr>
              <w:t xml:space="preserve">                                            </w:t>
            </w:r>
            <w:r>
              <w:rPr>
                <w:rFonts w:ascii="Times New Roman" w:hAnsi="Times New Roman" w:eastAsia="华文中宋"/>
                <w:color w:val="000000"/>
                <w:kern w:val="0"/>
                <w:sz w:val="24"/>
              </w:rPr>
              <w:t>学院负责人：</w:t>
            </w:r>
          </w:p>
          <w:p>
            <w:pPr>
              <w:ind w:right="960"/>
              <w:jc w:val="center"/>
              <w:rPr>
                <w:rFonts w:ascii="Times New Roman" w:hAnsi="Times New Roman" w:eastAsia="华文中宋"/>
                <w:color w:val="000000"/>
                <w:kern w:val="0"/>
                <w:sz w:val="24"/>
              </w:rPr>
            </w:pPr>
            <w:r>
              <w:rPr>
                <w:rFonts w:hint="eastAsia" w:ascii="Times New Roman" w:hAnsi="Times New Roman" w:eastAsia="华文中宋"/>
                <w:color w:val="000000"/>
                <w:kern w:val="0"/>
                <w:sz w:val="24"/>
              </w:rPr>
              <w:t xml:space="preserve">                                            </w:t>
            </w:r>
            <w:r>
              <w:rPr>
                <w:rFonts w:ascii="Times New Roman" w:hAnsi="Times New Roman" w:eastAsia="华文中宋"/>
                <w:color w:val="000000"/>
                <w:kern w:val="0"/>
                <w:sz w:val="24"/>
              </w:rPr>
              <w:t>（学院签章） 2015</w:t>
            </w:r>
            <w:r>
              <w:rPr>
                <w:rFonts w:ascii="Times New Roman" w:hAnsi="Times New Roman" w:eastAsia="华文中宋"/>
              </w:rPr>
              <w:t>年4月29日</w:t>
            </w:r>
          </w:p>
        </w:tc>
      </w:tr>
    </w:tbl>
    <w:p>
      <w:pPr>
        <w:pStyle w:val="36"/>
        <w:spacing w:line="360" w:lineRule="auto"/>
        <w:ind w:left="780" w:firstLine="0" w:firstLineChars="0"/>
        <w:rPr>
          <w:rFonts w:ascii="Times New Roman" w:hAnsi="Times New Roman" w:eastAsia="华文中宋"/>
          <w:sz w:val="15"/>
          <w:szCs w:val="15"/>
        </w:rPr>
      </w:pPr>
    </w:p>
    <w:p>
      <w:pPr>
        <w:pStyle w:val="2"/>
        <w:spacing w:before="0" w:after="0"/>
        <w:ind w:firstLine="420"/>
        <w:jc w:val="center"/>
        <w:rPr>
          <w:rFonts w:cs="Times New Roman"/>
          <w:b w:val="0"/>
          <w:bCs w:val="0"/>
          <w:kern w:val="2"/>
          <w:sz w:val="21"/>
          <w:szCs w:val="22"/>
        </w:rPr>
      </w:pPr>
      <w:bookmarkStart w:id="14" w:name="_Toc423019095"/>
      <w:r>
        <w:rPr>
          <w:rFonts w:cs="Times New Roman"/>
          <w:b w:val="0"/>
          <w:bCs w:val="0"/>
          <w:kern w:val="2"/>
          <w:sz w:val="21"/>
          <w:szCs w:val="22"/>
        </w:rPr>
        <w:br w:type="page"/>
      </w:r>
    </w:p>
    <w:p>
      <w:pPr>
        <w:pStyle w:val="2"/>
        <w:spacing w:before="0" w:after="0"/>
        <w:ind w:firstLine="681"/>
        <w:jc w:val="center"/>
        <w:rPr>
          <w:rFonts w:ascii="华文中宋" w:hAnsi="华文中宋" w:eastAsia="华文中宋"/>
          <w:spacing w:val="-10"/>
          <w:sz w:val="36"/>
          <w:szCs w:val="36"/>
        </w:rPr>
      </w:pPr>
      <w:r>
        <w:rPr>
          <w:rFonts w:ascii="华文中宋" w:hAnsi="华文中宋" w:eastAsia="华文中宋"/>
          <w:spacing w:val="-10"/>
          <w:sz w:val="36"/>
          <w:szCs w:val="36"/>
        </w:rPr>
        <w:t>第三部分煤矿开采技术专业（专科）专业规则表</w:t>
      </w:r>
      <w:bookmarkEnd w:id="14"/>
    </w:p>
    <w:tbl>
      <w:tblPr>
        <w:tblStyle w:val="21"/>
        <w:tblW w:w="10262" w:type="dxa"/>
        <w:jc w:val="center"/>
        <w:tblLayout w:type="fixed"/>
        <w:tblCellMar>
          <w:top w:w="15" w:type="dxa"/>
          <w:left w:w="15" w:type="dxa"/>
          <w:bottom w:w="15" w:type="dxa"/>
          <w:right w:w="15" w:type="dxa"/>
        </w:tblCellMar>
      </w:tblPr>
      <w:tblGrid>
        <w:gridCol w:w="1129"/>
        <w:gridCol w:w="522"/>
        <w:gridCol w:w="941"/>
        <w:gridCol w:w="851"/>
        <w:gridCol w:w="587"/>
        <w:gridCol w:w="2720"/>
        <w:gridCol w:w="505"/>
        <w:gridCol w:w="845"/>
        <w:gridCol w:w="805"/>
        <w:gridCol w:w="491"/>
        <w:gridCol w:w="866"/>
      </w:tblGrid>
      <w:tr>
        <w:tblPrEx>
          <w:tblCellMar>
            <w:top w:w="15" w:type="dxa"/>
            <w:left w:w="15" w:type="dxa"/>
            <w:bottom w:w="15" w:type="dxa"/>
            <w:right w:w="15" w:type="dxa"/>
          </w:tblCellMar>
        </w:tblPrEx>
        <w:trPr>
          <w:trHeight w:val="355" w:hRule="atLeast"/>
          <w:jc w:val="center"/>
        </w:trPr>
        <w:tc>
          <w:tcPr>
            <w:tcW w:w="1129" w:type="dxa"/>
            <w:tcBorders>
              <w:top w:val="single" w:color="000000" w:sz="4" w:space="0"/>
              <w:left w:val="single" w:color="000000" w:sz="4" w:space="0"/>
              <w:bottom w:val="single" w:color="000000" w:sz="4" w:space="0"/>
              <w:right w:val="single" w:color="000000" w:sz="4" w:space="0"/>
            </w:tcBorders>
            <w:vAlign w:val="bottom"/>
          </w:tcPr>
          <w:p>
            <w:pPr>
              <w:widowControl/>
              <w:spacing w:line="500" w:lineRule="exact"/>
              <w:jc w:val="center"/>
              <w:textAlignment w:val="bottom"/>
              <w:rPr>
                <w:rFonts w:ascii="Times New Roman" w:hAnsi="Times New Roman"/>
                <w:b/>
                <w:sz w:val="18"/>
                <w:szCs w:val="18"/>
              </w:rPr>
            </w:pPr>
            <w:r>
              <w:rPr>
                <w:rFonts w:ascii="Times New Roman" w:hAnsi="Times New Roman"/>
                <w:b/>
                <w:kern w:val="0"/>
                <w:sz w:val="18"/>
                <w:szCs w:val="18"/>
              </w:rPr>
              <w:t>专业名称</w:t>
            </w:r>
          </w:p>
        </w:tc>
        <w:tc>
          <w:tcPr>
            <w:tcW w:w="2901" w:type="dxa"/>
            <w:gridSpan w:val="4"/>
            <w:tcBorders>
              <w:top w:val="single" w:color="000000" w:sz="4" w:space="0"/>
              <w:left w:val="single" w:color="000000" w:sz="4" w:space="0"/>
              <w:bottom w:val="single" w:color="000000" w:sz="4" w:space="0"/>
              <w:right w:val="single" w:color="000000" w:sz="4" w:space="0"/>
            </w:tcBorders>
            <w:vAlign w:val="bottom"/>
          </w:tcPr>
          <w:p>
            <w:pPr>
              <w:widowControl/>
              <w:spacing w:line="500" w:lineRule="exact"/>
              <w:jc w:val="center"/>
              <w:textAlignment w:val="bottom"/>
              <w:rPr>
                <w:rFonts w:ascii="Times New Roman" w:hAnsi="Times New Roman"/>
                <w:sz w:val="18"/>
                <w:szCs w:val="18"/>
              </w:rPr>
            </w:pPr>
            <w:r>
              <w:rPr>
                <w:rFonts w:ascii="Times New Roman" w:hAnsi="Times New Roman"/>
                <w:kern w:val="0"/>
                <w:sz w:val="18"/>
                <w:szCs w:val="18"/>
              </w:rPr>
              <w:t>煤矿开采技术</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bottom"/>
              <w:rPr>
                <w:rFonts w:ascii="Times New Roman" w:hAnsi="Times New Roman"/>
                <w:b/>
                <w:sz w:val="18"/>
                <w:szCs w:val="18"/>
              </w:rPr>
            </w:pPr>
            <w:r>
              <w:rPr>
                <w:rFonts w:ascii="Times New Roman" w:hAnsi="Times New Roman"/>
                <w:b/>
                <w:kern w:val="0"/>
                <w:sz w:val="18"/>
                <w:szCs w:val="18"/>
              </w:rPr>
              <w:t>规则号</w:t>
            </w:r>
          </w:p>
        </w:tc>
        <w:tc>
          <w:tcPr>
            <w:tcW w:w="3512" w:type="dxa"/>
            <w:gridSpan w:val="5"/>
            <w:tcBorders>
              <w:top w:val="single" w:color="000000" w:sz="4" w:space="0"/>
              <w:left w:val="single" w:color="000000" w:sz="4" w:space="0"/>
              <w:bottom w:val="single" w:color="000000" w:sz="4" w:space="0"/>
              <w:right w:val="single" w:color="000000" w:sz="4" w:space="0"/>
            </w:tcBorders>
            <w:vAlign w:val="bottom"/>
          </w:tcPr>
          <w:p>
            <w:pPr>
              <w:widowControl/>
              <w:spacing w:line="500" w:lineRule="exact"/>
              <w:jc w:val="center"/>
              <w:textAlignment w:val="bottom"/>
              <w:rPr>
                <w:rFonts w:ascii="Times New Roman" w:hAnsi="Times New Roman"/>
                <w:sz w:val="18"/>
                <w:szCs w:val="18"/>
              </w:rPr>
            </w:pPr>
          </w:p>
        </w:tc>
      </w:tr>
      <w:tr>
        <w:tblPrEx>
          <w:tblCellMar>
            <w:top w:w="15" w:type="dxa"/>
            <w:left w:w="15" w:type="dxa"/>
            <w:bottom w:w="15" w:type="dxa"/>
            <w:right w:w="15" w:type="dxa"/>
          </w:tblCellMar>
        </w:tblPrEx>
        <w:trPr>
          <w:trHeight w:val="300" w:hRule="atLeast"/>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b/>
                <w:sz w:val="18"/>
                <w:szCs w:val="18"/>
              </w:rPr>
            </w:pPr>
            <w:r>
              <w:rPr>
                <w:rFonts w:ascii="Times New Roman" w:hAnsi="Times New Roman"/>
                <w:b/>
                <w:kern w:val="0"/>
                <w:sz w:val="18"/>
                <w:szCs w:val="18"/>
              </w:rPr>
              <w:t>学生类型</w:t>
            </w:r>
          </w:p>
        </w:tc>
        <w:tc>
          <w:tcPr>
            <w:tcW w:w="2901"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sz w:val="18"/>
                <w:szCs w:val="18"/>
              </w:rPr>
            </w:pPr>
            <w:r>
              <w:rPr>
                <w:rFonts w:ascii="Times New Roman" w:hAnsi="Times New Roman"/>
                <w:kern w:val="0"/>
                <w:sz w:val="18"/>
                <w:szCs w:val="18"/>
              </w:rPr>
              <w:t>开放</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b/>
                <w:sz w:val="18"/>
                <w:szCs w:val="18"/>
              </w:rPr>
            </w:pPr>
            <w:r>
              <w:rPr>
                <w:rFonts w:ascii="Times New Roman" w:hAnsi="Times New Roman"/>
                <w:b/>
                <w:kern w:val="0"/>
                <w:sz w:val="18"/>
                <w:szCs w:val="18"/>
              </w:rPr>
              <w:t>专业层次</w:t>
            </w:r>
          </w:p>
        </w:tc>
        <w:tc>
          <w:tcPr>
            <w:tcW w:w="3512"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sz w:val="18"/>
                <w:szCs w:val="18"/>
              </w:rPr>
            </w:pPr>
            <w:r>
              <w:rPr>
                <w:rFonts w:ascii="Times New Roman" w:hAnsi="Times New Roman"/>
                <w:kern w:val="0"/>
                <w:sz w:val="18"/>
                <w:szCs w:val="18"/>
              </w:rPr>
              <w:t>专科</w:t>
            </w:r>
          </w:p>
        </w:tc>
      </w:tr>
      <w:tr>
        <w:tblPrEx>
          <w:tblCellMar>
            <w:top w:w="15" w:type="dxa"/>
            <w:left w:w="15" w:type="dxa"/>
            <w:bottom w:w="15" w:type="dxa"/>
            <w:right w:w="15" w:type="dxa"/>
          </w:tblCellMar>
        </w:tblPrEx>
        <w:trPr>
          <w:trHeight w:val="324" w:hRule="atLeast"/>
          <w:jc w:val="center"/>
        </w:trPr>
        <w:tc>
          <w:tcPr>
            <w:tcW w:w="1129"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b/>
                <w:kern w:val="0"/>
                <w:sz w:val="18"/>
                <w:szCs w:val="18"/>
              </w:rPr>
            </w:pPr>
            <w:r>
              <w:rPr>
                <w:rFonts w:ascii="Times New Roman" w:hAnsi="Times New Roman"/>
                <w:b/>
                <w:kern w:val="0"/>
                <w:sz w:val="18"/>
                <w:szCs w:val="18"/>
              </w:rPr>
              <w:t>最低毕业学分</w:t>
            </w:r>
          </w:p>
        </w:tc>
        <w:tc>
          <w:tcPr>
            <w:tcW w:w="2901" w:type="dxa"/>
            <w:gridSpan w:val="4"/>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kern w:val="0"/>
                <w:sz w:val="18"/>
                <w:szCs w:val="18"/>
              </w:rPr>
            </w:pPr>
            <w:r>
              <w:rPr>
                <w:rFonts w:ascii="Times New Roman" w:hAnsi="Times New Roman"/>
                <w:kern w:val="0"/>
                <w:sz w:val="18"/>
                <w:szCs w:val="18"/>
              </w:rPr>
              <w:t>76</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b/>
                <w:kern w:val="0"/>
                <w:sz w:val="18"/>
                <w:szCs w:val="18"/>
              </w:rPr>
            </w:pPr>
            <w:r>
              <w:rPr>
                <w:rFonts w:ascii="Times New Roman" w:hAnsi="Times New Roman"/>
                <w:b/>
                <w:kern w:val="0"/>
                <w:sz w:val="18"/>
                <w:szCs w:val="18"/>
              </w:rPr>
              <w:t>国开考试学分</w:t>
            </w:r>
          </w:p>
        </w:tc>
        <w:tc>
          <w:tcPr>
            <w:tcW w:w="3512" w:type="dxa"/>
            <w:gridSpan w:val="5"/>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kern w:val="0"/>
                <w:sz w:val="18"/>
                <w:szCs w:val="18"/>
              </w:rPr>
            </w:pPr>
            <w:r>
              <w:rPr>
                <w:rFonts w:hint="eastAsia" w:ascii="Times New Roman" w:hAnsi="Times New Roman"/>
                <w:kern w:val="0"/>
                <w:sz w:val="18"/>
                <w:szCs w:val="18"/>
              </w:rPr>
              <w:t>36</w:t>
            </w:r>
          </w:p>
        </w:tc>
      </w:tr>
      <w:tr>
        <w:tblPrEx>
          <w:tblCellMar>
            <w:top w:w="15" w:type="dxa"/>
            <w:left w:w="15" w:type="dxa"/>
            <w:bottom w:w="15" w:type="dxa"/>
            <w:right w:w="15" w:type="dxa"/>
          </w:tblCellMar>
        </w:tblPrEx>
        <w:trPr>
          <w:trHeight w:val="1364" w:hRule="atLeast"/>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模块</w:t>
            </w:r>
          </w:p>
        </w:tc>
        <w:tc>
          <w:tcPr>
            <w:tcW w:w="522"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模块毕业最低学分</w:t>
            </w:r>
          </w:p>
        </w:tc>
        <w:tc>
          <w:tcPr>
            <w:tcW w:w="941"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模块国开考试最低学分</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模块设置最低学分</w:t>
            </w:r>
          </w:p>
        </w:tc>
        <w:tc>
          <w:tcPr>
            <w:tcW w:w="587" w:type="dxa"/>
            <w:tcBorders>
              <w:top w:val="single" w:color="000000" w:sz="4" w:space="0"/>
              <w:left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序号</w:t>
            </w:r>
          </w:p>
        </w:tc>
        <w:tc>
          <w:tcPr>
            <w:tcW w:w="2720" w:type="dxa"/>
            <w:tcBorders>
              <w:top w:val="single" w:color="000000" w:sz="4" w:space="0"/>
              <w:left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课程名称</w:t>
            </w:r>
          </w:p>
        </w:tc>
        <w:tc>
          <w:tcPr>
            <w:tcW w:w="505" w:type="dxa"/>
            <w:tcBorders>
              <w:top w:val="single" w:color="000000" w:sz="4" w:space="0"/>
              <w:left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学分</w:t>
            </w:r>
          </w:p>
        </w:tc>
        <w:tc>
          <w:tcPr>
            <w:tcW w:w="845" w:type="dxa"/>
            <w:tcBorders>
              <w:top w:val="single" w:color="000000" w:sz="4" w:space="0"/>
              <w:left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kern w:val="0"/>
                <w:sz w:val="18"/>
                <w:szCs w:val="18"/>
              </w:rPr>
            </w:pPr>
            <w:r>
              <w:rPr>
                <w:rFonts w:ascii="Times New Roman" w:hAnsi="Times New Roman"/>
                <w:b/>
                <w:bCs/>
                <w:kern w:val="0"/>
                <w:sz w:val="18"/>
                <w:szCs w:val="18"/>
              </w:rPr>
              <w:t>课程</w:t>
            </w:r>
          </w:p>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类型</w:t>
            </w:r>
          </w:p>
        </w:tc>
        <w:tc>
          <w:tcPr>
            <w:tcW w:w="805" w:type="dxa"/>
            <w:tcBorders>
              <w:top w:val="single" w:color="000000" w:sz="4" w:space="0"/>
              <w:left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kern w:val="0"/>
                <w:sz w:val="18"/>
                <w:szCs w:val="18"/>
              </w:rPr>
            </w:pPr>
            <w:r>
              <w:rPr>
                <w:rFonts w:ascii="Times New Roman" w:hAnsi="Times New Roman"/>
                <w:b/>
                <w:bCs/>
                <w:kern w:val="0"/>
                <w:sz w:val="18"/>
                <w:szCs w:val="18"/>
              </w:rPr>
              <w:t>课程</w:t>
            </w:r>
          </w:p>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性质</w:t>
            </w:r>
          </w:p>
        </w:tc>
        <w:tc>
          <w:tcPr>
            <w:tcW w:w="491" w:type="dxa"/>
            <w:tcBorders>
              <w:top w:val="single" w:color="000000" w:sz="4" w:space="0"/>
              <w:left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建议开设学期</w:t>
            </w:r>
          </w:p>
        </w:tc>
        <w:tc>
          <w:tcPr>
            <w:tcW w:w="866" w:type="dxa"/>
            <w:tcBorders>
              <w:top w:val="single" w:color="000000" w:sz="4" w:space="0"/>
              <w:left w:val="single" w:color="000000" w:sz="4" w:space="0"/>
              <w:right w:val="single" w:color="000000" w:sz="4" w:space="0"/>
            </w:tcBorders>
            <w:vAlign w:val="center"/>
          </w:tcPr>
          <w:p>
            <w:pPr>
              <w:widowControl/>
              <w:spacing w:line="400" w:lineRule="exact"/>
              <w:jc w:val="center"/>
              <w:textAlignment w:val="center"/>
              <w:rPr>
                <w:rFonts w:ascii="Times New Roman" w:hAnsi="Times New Roman"/>
                <w:b/>
                <w:bCs/>
                <w:kern w:val="0"/>
                <w:sz w:val="18"/>
                <w:szCs w:val="18"/>
              </w:rPr>
            </w:pPr>
            <w:r>
              <w:rPr>
                <w:rFonts w:ascii="Times New Roman" w:hAnsi="Times New Roman"/>
                <w:b/>
                <w:bCs/>
                <w:kern w:val="0"/>
                <w:sz w:val="18"/>
                <w:szCs w:val="18"/>
              </w:rPr>
              <w:t>考试</w:t>
            </w:r>
          </w:p>
          <w:p>
            <w:pPr>
              <w:widowControl/>
              <w:spacing w:line="400" w:lineRule="exact"/>
              <w:jc w:val="center"/>
              <w:textAlignment w:val="center"/>
              <w:rPr>
                <w:rFonts w:ascii="Times New Roman" w:hAnsi="Times New Roman"/>
                <w:b/>
                <w:bCs/>
                <w:sz w:val="18"/>
                <w:szCs w:val="18"/>
              </w:rPr>
            </w:pPr>
            <w:r>
              <w:rPr>
                <w:rFonts w:ascii="Times New Roman" w:hAnsi="Times New Roman"/>
                <w:b/>
                <w:bCs/>
                <w:kern w:val="0"/>
                <w:sz w:val="18"/>
                <w:szCs w:val="18"/>
              </w:rPr>
              <w:t>单位</w:t>
            </w:r>
          </w:p>
        </w:tc>
      </w:tr>
      <w:tr>
        <w:tblPrEx>
          <w:tblCellMar>
            <w:top w:w="15" w:type="dxa"/>
            <w:left w:w="15" w:type="dxa"/>
            <w:bottom w:w="15" w:type="dxa"/>
            <w:right w:w="15" w:type="dxa"/>
          </w:tblCellMar>
        </w:tblPrEx>
        <w:trPr>
          <w:trHeight w:val="437" w:hRule="atLeast"/>
          <w:jc w:val="center"/>
        </w:trPr>
        <w:tc>
          <w:tcPr>
            <w:tcW w:w="112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Times New Roman" w:hAnsi="Times New Roman"/>
                <w:b/>
                <w:kern w:val="0"/>
                <w:sz w:val="18"/>
                <w:szCs w:val="18"/>
              </w:rPr>
            </w:pPr>
            <w:r>
              <w:rPr>
                <w:rFonts w:ascii="Times New Roman" w:hAnsi="Times New Roman"/>
                <w:b/>
                <w:kern w:val="0"/>
                <w:sz w:val="18"/>
                <w:szCs w:val="18"/>
              </w:rPr>
              <w:t>公共</w:t>
            </w:r>
          </w:p>
          <w:p>
            <w:pPr>
              <w:widowControl/>
              <w:spacing w:line="400" w:lineRule="exact"/>
              <w:jc w:val="center"/>
              <w:textAlignment w:val="center"/>
              <w:rPr>
                <w:rFonts w:ascii="Times New Roman" w:hAnsi="Times New Roman"/>
                <w:b/>
                <w:sz w:val="18"/>
                <w:szCs w:val="18"/>
              </w:rPr>
            </w:pPr>
            <w:r>
              <w:rPr>
                <w:rFonts w:ascii="Times New Roman" w:hAnsi="Times New Roman"/>
                <w:b/>
                <w:kern w:val="0"/>
                <w:sz w:val="18"/>
                <w:szCs w:val="18"/>
              </w:rPr>
              <w:t>基础课</w:t>
            </w:r>
          </w:p>
        </w:tc>
        <w:tc>
          <w:tcPr>
            <w:tcW w:w="52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94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中国特色社会主义理论体系概论</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必修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000000"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000000"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000000"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国家开放大学学习指南</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必修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restart"/>
            <w:tcBorders>
              <w:top w:val="single" w:color="auto" w:sz="4" w:space="0"/>
              <w:left w:val="single" w:color="000000" w:sz="4" w:space="0"/>
              <w:right w:val="single" w:color="000000" w:sz="4" w:space="0"/>
            </w:tcBorders>
            <w:vAlign w:val="center"/>
          </w:tcPr>
          <w:p>
            <w:pPr>
              <w:spacing w:line="500" w:lineRule="exact"/>
              <w:jc w:val="center"/>
              <w:rPr>
                <w:rFonts w:ascii="Times New Roman" w:hAnsi="Times New Roman"/>
                <w:sz w:val="18"/>
                <w:szCs w:val="18"/>
              </w:rPr>
            </w:pPr>
            <w:r>
              <w:rPr>
                <w:rFonts w:ascii="Times New Roman" w:hAnsi="Times New Roman"/>
                <w:sz w:val="18"/>
                <w:szCs w:val="18"/>
              </w:rPr>
              <w:t>3</w:t>
            </w:r>
          </w:p>
        </w:tc>
        <w:tc>
          <w:tcPr>
            <w:tcW w:w="941" w:type="dxa"/>
            <w:vMerge w:val="restart"/>
            <w:tcBorders>
              <w:top w:val="single" w:color="auto" w:sz="4" w:space="0"/>
              <w:left w:val="single" w:color="000000" w:sz="4" w:space="0"/>
              <w:right w:val="single" w:color="000000" w:sz="4" w:space="0"/>
            </w:tcBorders>
            <w:vAlign w:val="center"/>
          </w:tcPr>
          <w:p>
            <w:pPr>
              <w:spacing w:line="500" w:lineRule="exact"/>
              <w:jc w:val="center"/>
              <w:rPr>
                <w:rFonts w:ascii="Times New Roman" w:hAnsi="Times New Roman"/>
                <w:sz w:val="18"/>
                <w:szCs w:val="18"/>
              </w:rPr>
            </w:pPr>
            <w:r>
              <w:rPr>
                <w:rFonts w:ascii="Times New Roman" w:hAnsi="Times New Roman"/>
                <w:sz w:val="18"/>
                <w:szCs w:val="18"/>
              </w:rPr>
              <w:t>3</w:t>
            </w:r>
          </w:p>
        </w:tc>
        <w:tc>
          <w:tcPr>
            <w:tcW w:w="851" w:type="dxa"/>
            <w:vMerge w:val="restart"/>
            <w:tcBorders>
              <w:top w:val="single" w:color="auto" w:sz="4" w:space="0"/>
              <w:left w:val="single" w:color="000000" w:sz="4" w:space="0"/>
              <w:right w:val="single" w:color="000000" w:sz="4" w:space="0"/>
            </w:tcBorders>
            <w:vAlign w:val="center"/>
          </w:tcPr>
          <w:p>
            <w:pPr>
              <w:spacing w:line="500" w:lineRule="exact"/>
              <w:jc w:val="center"/>
              <w:rPr>
                <w:rFonts w:ascii="Times New Roman" w:hAnsi="Times New Roman"/>
                <w:sz w:val="18"/>
                <w:szCs w:val="18"/>
              </w:rPr>
            </w:pPr>
            <w:r>
              <w:rPr>
                <w:rFonts w:ascii="Times New Roman" w:hAnsi="Times New Roman"/>
                <w:sz w:val="18"/>
                <w:szCs w:val="18"/>
              </w:rPr>
              <w:t>10</w:t>
            </w:r>
          </w:p>
        </w:tc>
        <w:tc>
          <w:tcPr>
            <w:tcW w:w="587" w:type="dxa"/>
            <w:tcBorders>
              <w:top w:val="single" w:color="auto"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计算机应用基础</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4</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4</w:t>
            </w:r>
          </w:p>
        </w:tc>
        <w:tc>
          <w:tcPr>
            <w:tcW w:w="2720" w:type="dxa"/>
            <w:tcBorders>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高等数学基础</w:t>
            </w:r>
          </w:p>
        </w:tc>
        <w:tc>
          <w:tcPr>
            <w:tcW w:w="505" w:type="dxa"/>
            <w:tcBorders>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845" w:type="dxa"/>
            <w:tcBorders>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p>
        </w:tc>
        <w:tc>
          <w:tcPr>
            <w:tcW w:w="866" w:type="dxa"/>
            <w:tcBorders>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70" w:hRule="atLeast"/>
          <w:jc w:val="center"/>
        </w:trPr>
        <w:tc>
          <w:tcPr>
            <w:tcW w:w="1129" w:type="dxa"/>
            <w:vMerge w:val="continue"/>
            <w:tcBorders>
              <w:top w:val="single" w:color="000000"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000000"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000000"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000000"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5</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英语I（1）</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restart"/>
            <w:tcBorders>
              <w:top w:val="single" w:color="auto" w:sz="4" w:space="0"/>
              <w:left w:val="single" w:color="000000" w:sz="4" w:space="0"/>
              <w:right w:val="single" w:color="000000" w:sz="4" w:space="0"/>
            </w:tcBorders>
            <w:vAlign w:val="center"/>
          </w:tcPr>
          <w:p>
            <w:pPr>
              <w:widowControl/>
              <w:spacing w:line="400" w:lineRule="exact"/>
              <w:jc w:val="center"/>
              <w:textAlignment w:val="center"/>
              <w:rPr>
                <w:rFonts w:ascii="Times New Roman" w:hAnsi="Times New Roman"/>
                <w:b/>
                <w:kern w:val="0"/>
                <w:sz w:val="18"/>
                <w:szCs w:val="18"/>
              </w:rPr>
            </w:pPr>
            <w:r>
              <w:rPr>
                <w:rFonts w:ascii="Times New Roman" w:hAnsi="Times New Roman"/>
                <w:b/>
                <w:kern w:val="0"/>
                <w:sz w:val="18"/>
                <w:szCs w:val="18"/>
              </w:rPr>
              <w:t>专业</w:t>
            </w:r>
          </w:p>
          <w:p>
            <w:pPr>
              <w:widowControl/>
              <w:spacing w:line="400" w:lineRule="exact"/>
              <w:jc w:val="center"/>
              <w:textAlignment w:val="center"/>
              <w:rPr>
                <w:rFonts w:ascii="Times New Roman" w:hAnsi="Times New Roman"/>
                <w:b/>
                <w:kern w:val="0"/>
                <w:sz w:val="18"/>
                <w:szCs w:val="18"/>
              </w:rPr>
            </w:pPr>
            <w:r>
              <w:rPr>
                <w:rFonts w:ascii="Times New Roman" w:hAnsi="Times New Roman"/>
                <w:b/>
                <w:kern w:val="0"/>
                <w:sz w:val="18"/>
                <w:szCs w:val="18"/>
              </w:rPr>
              <w:t>基础课</w:t>
            </w:r>
          </w:p>
        </w:tc>
        <w:tc>
          <w:tcPr>
            <w:tcW w:w="522" w:type="dxa"/>
            <w:vMerge w:val="restart"/>
            <w:tcBorders>
              <w:top w:val="single" w:color="auto" w:sz="4" w:space="0"/>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16</w:t>
            </w:r>
          </w:p>
        </w:tc>
        <w:tc>
          <w:tcPr>
            <w:tcW w:w="941" w:type="dxa"/>
            <w:vMerge w:val="restart"/>
            <w:tcBorders>
              <w:top w:val="single" w:color="auto" w:sz="4" w:space="0"/>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11</w:t>
            </w:r>
          </w:p>
        </w:tc>
        <w:tc>
          <w:tcPr>
            <w:tcW w:w="851" w:type="dxa"/>
            <w:vMerge w:val="restart"/>
            <w:tcBorders>
              <w:top w:val="single" w:color="auto" w:sz="4" w:space="0"/>
              <w:lef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29</w:t>
            </w:r>
          </w:p>
        </w:tc>
        <w:tc>
          <w:tcPr>
            <w:tcW w:w="587" w:type="dxa"/>
            <w:tcBorders>
              <w:top w:val="single" w:color="auto"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6</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机械制图</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5</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必修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1</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auto" w:sz="4" w:space="0"/>
              <w:left w:val="single" w:color="000000" w:sz="4" w:space="0"/>
              <w:bottom w:val="single" w:color="auto"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7</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煤矿地质</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3</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必修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auto" w:sz="4" w:space="0"/>
              <w:left w:val="single" w:color="000000" w:sz="4" w:space="0"/>
              <w:bottom w:val="single" w:color="auto"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8</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sz w:val="18"/>
                <w:szCs w:val="18"/>
              </w:rPr>
              <w:t>矿井测量</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3</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必修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auto" w:sz="4" w:space="0"/>
              <w:left w:val="single" w:color="000000" w:sz="4" w:space="0"/>
              <w:bottom w:val="single" w:color="auto"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9</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工程力学</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5</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auto" w:sz="4" w:space="0"/>
              <w:left w:val="single" w:color="000000" w:sz="4" w:space="0"/>
              <w:bottom w:val="single" w:color="auto"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10</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电工电子技术</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4</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auto" w:sz="4" w:space="0"/>
              <w:left w:val="single" w:color="000000" w:sz="4" w:space="0"/>
              <w:bottom w:val="single" w:color="auto"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11</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机械设计基础</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4</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auto" w:sz="4" w:space="0"/>
              <w:left w:val="single" w:color="000000" w:sz="4" w:space="0"/>
              <w:bottom w:val="single" w:color="auto"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12</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sz w:val="18"/>
                <w:szCs w:val="18"/>
              </w:rPr>
              <w:t>矿图识读与CAD应用</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3</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sz w:val="18"/>
                <w:szCs w:val="18"/>
              </w:rPr>
              <w:t>3</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auto" w:sz="4" w:space="0"/>
              <w:left w:val="single" w:color="000000" w:sz="4" w:space="0"/>
              <w:bottom w:val="single" w:color="auto"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13</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sz w:val="18"/>
                <w:szCs w:val="18"/>
              </w:rPr>
              <w:t>矿山环境保护</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4</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restart"/>
            <w:tcBorders>
              <w:top w:val="single" w:color="000000" w:sz="4" w:space="0"/>
              <w:left w:val="single" w:color="000000" w:sz="4" w:space="0"/>
              <w:right w:val="single" w:color="000000" w:sz="4" w:space="0"/>
            </w:tcBorders>
            <w:vAlign w:val="center"/>
          </w:tcPr>
          <w:p>
            <w:pPr>
              <w:widowControl/>
              <w:spacing w:line="400" w:lineRule="exact"/>
              <w:jc w:val="center"/>
              <w:textAlignment w:val="center"/>
              <w:rPr>
                <w:rFonts w:ascii="Times New Roman" w:hAnsi="Times New Roman"/>
                <w:b/>
                <w:kern w:val="0"/>
                <w:sz w:val="18"/>
                <w:szCs w:val="18"/>
              </w:rPr>
            </w:pPr>
            <w:r>
              <w:rPr>
                <w:rFonts w:ascii="Times New Roman" w:hAnsi="Times New Roman"/>
                <w:b/>
                <w:kern w:val="0"/>
                <w:sz w:val="18"/>
                <w:szCs w:val="18"/>
              </w:rPr>
              <w:t>专业</w:t>
            </w:r>
          </w:p>
          <w:p>
            <w:pPr>
              <w:widowControl/>
              <w:spacing w:line="400" w:lineRule="exact"/>
              <w:jc w:val="center"/>
              <w:textAlignment w:val="center"/>
              <w:rPr>
                <w:rFonts w:ascii="Times New Roman" w:hAnsi="Times New Roman"/>
                <w:b/>
                <w:kern w:val="0"/>
                <w:sz w:val="18"/>
                <w:szCs w:val="18"/>
              </w:rPr>
            </w:pPr>
            <w:r>
              <w:rPr>
                <w:rFonts w:ascii="Times New Roman" w:hAnsi="Times New Roman"/>
                <w:b/>
                <w:kern w:val="0"/>
                <w:sz w:val="18"/>
                <w:szCs w:val="18"/>
              </w:rPr>
              <w:t>核心课</w:t>
            </w:r>
          </w:p>
        </w:tc>
        <w:tc>
          <w:tcPr>
            <w:tcW w:w="522" w:type="dxa"/>
            <w:vMerge w:val="restart"/>
            <w:tcBorders>
              <w:top w:val="single" w:color="auto" w:sz="4" w:space="0"/>
              <w:left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23</w:t>
            </w:r>
          </w:p>
        </w:tc>
        <w:tc>
          <w:tcPr>
            <w:tcW w:w="941" w:type="dxa"/>
            <w:vMerge w:val="restart"/>
            <w:tcBorders>
              <w:top w:val="single" w:color="auto" w:sz="4" w:space="0"/>
              <w:left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hint="eastAsia" w:ascii="Times New Roman" w:hAnsi="Times New Roman"/>
                <w:kern w:val="0"/>
                <w:sz w:val="18"/>
                <w:szCs w:val="18"/>
              </w:rPr>
              <w:t>19</w:t>
            </w:r>
          </w:p>
        </w:tc>
        <w:tc>
          <w:tcPr>
            <w:tcW w:w="851" w:type="dxa"/>
            <w:vMerge w:val="restart"/>
            <w:tcBorders>
              <w:top w:val="single" w:color="auto" w:sz="4" w:space="0"/>
              <w:lef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26</w:t>
            </w: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14</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ascii="Times New Roman" w:hAnsi="Times New Roman"/>
                <w:kern w:val="0"/>
                <w:sz w:val="18"/>
                <w:szCs w:val="18"/>
              </w:rPr>
            </w:pPr>
            <w:r>
              <w:rPr>
                <w:rFonts w:ascii="Segoe UI Symbol" w:hAnsi="Segoe UI Symbol" w:cs="Segoe UI Symbol"/>
                <w:kern w:val="0"/>
                <w:sz w:val="18"/>
                <w:szCs w:val="18"/>
              </w:rPr>
              <w:t>★</w:t>
            </w:r>
            <w:r>
              <w:rPr>
                <w:rFonts w:ascii="Times New Roman" w:hAnsi="Times New Roman"/>
                <w:kern w:val="0"/>
                <w:sz w:val="18"/>
                <w:szCs w:val="18"/>
              </w:rPr>
              <w:t>井巷工程（专）</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sz w:val="18"/>
                <w:szCs w:val="18"/>
              </w:rPr>
            </w:pPr>
            <w:r>
              <w:rPr>
                <w:rFonts w:ascii="Times New Roman" w:hAnsi="Times New Roman"/>
                <w:kern w:val="0"/>
                <w:sz w:val="18"/>
                <w:szCs w:val="18"/>
              </w:rPr>
              <w:t>3</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必修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left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left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lef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15</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ascii="Times New Roman" w:hAnsi="Times New Roman"/>
                <w:sz w:val="18"/>
                <w:szCs w:val="18"/>
              </w:rPr>
            </w:pPr>
            <w:r>
              <w:rPr>
                <w:rFonts w:ascii="Segoe UI Symbol" w:hAnsi="Segoe UI Symbol" w:cs="Segoe UI Symbol"/>
                <w:kern w:val="0"/>
                <w:sz w:val="18"/>
                <w:szCs w:val="18"/>
              </w:rPr>
              <w:t>★</w:t>
            </w:r>
            <w:r>
              <w:rPr>
                <w:rFonts w:ascii="Times New Roman" w:hAnsi="Times New Roman"/>
                <w:kern w:val="0"/>
                <w:sz w:val="18"/>
                <w:szCs w:val="18"/>
              </w:rPr>
              <w:t>煤矿开采（专）</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sz w:val="18"/>
                <w:szCs w:val="18"/>
              </w:rPr>
            </w:pPr>
            <w:r>
              <w:rPr>
                <w:rFonts w:hint="eastAsia" w:ascii="Times New Roman" w:hAnsi="Times New Roman"/>
                <w:kern w:val="0"/>
                <w:sz w:val="18"/>
                <w:szCs w:val="18"/>
              </w:rPr>
              <w:t>5</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必修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left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left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lef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16</w:t>
            </w:r>
          </w:p>
        </w:tc>
        <w:tc>
          <w:tcPr>
            <w:tcW w:w="2720" w:type="dxa"/>
            <w:tcBorders>
              <w:top w:val="single" w:color="000000" w:sz="4" w:space="0"/>
              <w:left w:val="single" w:color="000000" w:sz="4" w:space="0"/>
              <w:bottom w:val="single" w:color="auto" w:sz="4" w:space="0"/>
              <w:right w:val="single" w:color="000000" w:sz="4" w:space="0"/>
            </w:tcBorders>
            <w:vAlign w:val="center"/>
          </w:tcPr>
          <w:p>
            <w:pPr>
              <w:widowControl/>
              <w:jc w:val="left"/>
              <w:textAlignment w:val="bottom"/>
              <w:rPr>
                <w:rFonts w:ascii="Times New Roman" w:hAnsi="Times New Roman"/>
                <w:kern w:val="0"/>
                <w:sz w:val="18"/>
                <w:szCs w:val="18"/>
              </w:rPr>
            </w:pPr>
            <w:r>
              <w:rPr>
                <w:rFonts w:ascii="Times New Roman" w:hAnsi="Times New Roman"/>
                <w:kern w:val="0"/>
                <w:sz w:val="18"/>
                <w:szCs w:val="18"/>
              </w:rPr>
              <w:t>煤矿电工学（专）</w:t>
            </w:r>
          </w:p>
        </w:tc>
        <w:tc>
          <w:tcPr>
            <w:tcW w:w="505"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3</w:t>
            </w:r>
          </w:p>
        </w:tc>
        <w:tc>
          <w:tcPr>
            <w:tcW w:w="845" w:type="dxa"/>
            <w:tcBorders>
              <w:top w:val="single" w:color="000000"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sz w:val="18"/>
                <w:szCs w:val="18"/>
              </w:rPr>
              <w:t>必修</w:t>
            </w:r>
          </w:p>
        </w:tc>
        <w:tc>
          <w:tcPr>
            <w:tcW w:w="491" w:type="dxa"/>
            <w:tcBorders>
              <w:top w:val="single" w:color="000000"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sz w:val="18"/>
                <w:szCs w:val="18"/>
              </w:rPr>
              <w:t>3</w:t>
            </w:r>
          </w:p>
        </w:tc>
        <w:tc>
          <w:tcPr>
            <w:tcW w:w="866" w:type="dxa"/>
            <w:tcBorders>
              <w:top w:val="single" w:color="000000"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165"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left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left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lef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17</w:t>
            </w:r>
          </w:p>
        </w:tc>
        <w:tc>
          <w:tcPr>
            <w:tcW w:w="2720" w:type="dxa"/>
            <w:tcBorders>
              <w:top w:val="single" w:color="auto" w:sz="4" w:space="0"/>
              <w:left w:val="single" w:color="000000" w:sz="4" w:space="0"/>
              <w:bottom w:val="single" w:color="auto" w:sz="4" w:space="0"/>
              <w:right w:val="single" w:color="000000" w:sz="4" w:space="0"/>
            </w:tcBorders>
            <w:vAlign w:val="center"/>
          </w:tcPr>
          <w:p>
            <w:pPr>
              <w:widowControl/>
              <w:jc w:val="left"/>
              <w:textAlignment w:val="bottom"/>
              <w:rPr>
                <w:rFonts w:ascii="Times New Roman" w:hAnsi="Times New Roman"/>
                <w:kern w:val="0"/>
                <w:sz w:val="18"/>
                <w:szCs w:val="18"/>
              </w:rPr>
            </w:pPr>
            <w:r>
              <w:rPr>
                <w:rFonts w:ascii="Segoe UI Symbol" w:hAnsi="Segoe UI Symbol" w:cs="Segoe UI Symbol"/>
                <w:kern w:val="0"/>
                <w:sz w:val="18"/>
                <w:szCs w:val="18"/>
              </w:rPr>
              <w:t>★</w:t>
            </w:r>
            <w:r>
              <w:rPr>
                <w:rFonts w:ascii="Times New Roman" w:hAnsi="Times New Roman"/>
                <w:kern w:val="0"/>
                <w:sz w:val="18"/>
                <w:szCs w:val="18"/>
              </w:rPr>
              <w:t>矿山压力及岩层控制（专）</w:t>
            </w:r>
          </w:p>
        </w:tc>
        <w:tc>
          <w:tcPr>
            <w:tcW w:w="5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3</w:t>
            </w:r>
          </w:p>
        </w:tc>
        <w:tc>
          <w:tcPr>
            <w:tcW w:w="845" w:type="dxa"/>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必修</w:t>
            </w:r>
          </w:p>
        </w:tc>
        <w:tc>
          <w:tcPr>
            <w:tcW w:w="491" w:type="dxa"/>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sz w:val="18"/>
                <w:szCs w:val="18"/>
              </w:rPr>
              <w:t>3</w:t>
            </w:r>
          </w:p>
        </w:tc>
        <w:tc>
          <w:tcPr>
            <w:tcW w:w="866" w:type="dxa"/>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textAlignment w:val="center"/>
              <w:rPr>
                <w:rFonts w:ascii="Times New Roman" w:hAnsi="Times New Roman"/>
                <w:b/>
                <w:sz w:val="18"/>
                <w:szCs w:val="18"/>
              </w:rPr>
            </w:pPr>
          </w:p>
        </w:tc>
        <w:tc>
          <w:tcPr>
            <w:tcW w:w="522" w:type="dxa"/>
            <w:vMerge w:val="continue"/>
            <w:tcBorders>
              <w:left w:val="single" w:color="000000" w:sz="4" w:space="0"/>
              <w:right w:val="single" w:color="000000" w:sz="4" w:space="0"/>
            </w:tcBorders>
            <w:vAlign w:val="center"/>
          </w:tcPr>
          <w:p>
            <w:pPr>
              <w:spacing w:line="500" w:lineRule="exact"/>
              <w:jc w:val="center"/>
              <w:textAlignment w:val="center"/>
              <w:rPr>
                <w:rFonts w:ascii="Times New Roman" w:hAnsi="Times New Roman"/>
                <w:sz w:val="18"/>
                <w:szCs w:val="18"/>
              </w:rPr>
            </w:pPr>
          </w:p>
        </w:tc>
        <w:tc>
          <w:tcPr>
            <w:tcW w:w="941" w:type="dxa"/>
            <w:vMerge w:val="continue"/>
            <w:tcBorders>
              <w:left w:val="single" w:color="000000" w:sz="4" w:space="0"/>
              <w:right w:val="single" w:color="000000" w:sz="4" w:space="0"/>
            </w:tcBorders>
            <w:vAlign w:val="center"/>
          </w:tcPr>
          <w:p>
            <w:pPr>
              <w:spacing w:line="500" w:lineRule="exact"/>
              <w:jc w:val="center"/>
              <w:textAlignment w:val="center"/>
              <w:rPr>
                <w:rFonts w:ascii="Times New Roman" w:hAnsi="Times New Roman"/>
                <w:sz w:val="18"/>
                <w:szCs w:val="18"/>
              </w:rPr>
            </w:pPr>
          </w:p>
        </w:tc>
        <w:tc>
          <w:tcPr>
            <w:tcW w:w="851" w:type="dxa"/>
            <w:vMerge w:val="continue"/>
            <w:tcBorders>
              <w:left w:val="single" w:color="000000" w:sz="4" w:space="0"/>
            </w:tcBorders>
            <w:vAlign w:val="center"/>
          </w:tcPr>
          <w:p>
            <w:pPr>
              <w:spacing w:line="500" w:lineRule="exact"/>
              <w:jc w:val="center"/>
              <w:textAlignment w:val="center"/>
              <w:rPr>
                <w:rFonts w:ascii="Times New Roman" w:hAnsi="Times New Roman"/>
                <w:sz w:val="18"/>
                <w:szCs w:val="18"/>
              </w:rPr>
            </w:pPr>
          </w:p>
        </w:tc>
        <w:tc>
          <w:tcPr>
            <w:tcW w:w="587" w:type="dxa"/>
            <w:tcBorders>
              <w:top w:val="single" w:color="000000" w:sz="4" w:space="0"/>
              <w:left w:val="single" w:color="000000" w:sz="4" w:space="0"/>
              <w:bottom w:val="single" w:color="auto"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18</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ascii="Times New Roman" w:hAnsi="Times New Roman"/>
                <w:kern w:val="0"/>
                <w:sz w:val="18"/>
                <w:szCs w:val="18"/>
              </w:rPr>
            </w:pPr>
            <w:r>
              <w:rPr>
                <w:rFonts w:ascii="Times New Roman" w:hAnsi="Times New Roman"/>
                <w:kern w:val="0"/>
                <w:sz w:val="18"/>
                <w:szCs w:val="18"/>
              </w:rPr>
              <w:t>采掘机械（专）</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3</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必修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4</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left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left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lef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auto"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19</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ascii="Times New Roman" w:hAnsi="Times New Roman"/>
                <w:kern w:val="0"/>
                <w:sz w:val="18"/>
                <w:szCs w:val="18"/>
              </w:rPr>
            </w:pPr>
            <w:r>
              <w:rPr>
                <w:rFonts w:ascii="Times New Roman" w:hAnsi="Times New Roman"/>
                <w:kern w:val="0"/>
                <w:sz w:val="18"/>
                <w:szCs w:val="18"/>
              </w:rPr>
              <w:t>矿井运输提升（专）</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必修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4</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国开</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left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left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lef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20</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bottom"/>
              <w:rPr>
                <w:rFonts w:ascii="Times New Roman" w:hAnsi="Times New Roman"/>
                <w:sz w:val="18"/>
                <w:szCs w:val="18"/>
              </w:rPr>
            </w:pPr>
            <w:r>
              <w:rPr>
                <w:rFonts w:ascii="Times New Roman" w:hAnsi="Times New Roman"/>
                <w:kern w:val="0"/>
                <w:sz w:val="18"/>
                <w:szCs w:val="18"/>
              </w:rPr>
              <w:t>矿井通风与安全</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ascii="Times New Roman" w:hAnsi="Times New Roman"/>
                <w:sz w:val="18"/>
                <w:szCs w:val="18"/>
              </w:rPr>
            </w:pPr>
            <w:r>
              <w:rPr>
                <w:rFonts w:hint="eastAsia" w:ascii="Times New Roman" w:hAnsi="Times New Roman"/>
                <w:kern w:val="0"/>
                <w:sz w:val="18"/>
                <w:szCs w:val="18"/>
              </w:rPr>
              <w:t>4</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hint="eastAsia" w:ascii="Times New Roman" w:hAnsi="Times New Roman"/>
                <w:kern w:val="0"/>
                <w:sz w:val="18"/>
                <w:szCs w:val="18"/>
              </w:rPr>
              <w:t>非统设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4</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hint="eastAsia" w:ascii="Times New Roman" w:hAnsi="Times New Roman"/>
                <w:kern w:val="0"/>
                <w:sz w:val="18"/>
                <w:szCs w:val="18"/>
              </w:rPr>
              <w:t>煤炭</w:t>
            </w:r>
            <w:r>
              <w:rPr>
                <w:rFonts w:ascii="Times New Roman" w:hAnsi="Times New Roman"/>
                <w:kern w:val="0"/>
                <w:sz w:val="18"/>
                <w:szCs w:val="18"/>
              </w:rPr>
              <w:t>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left w:val="single" w:color="000000" w:sz="4" w:space="0"/>
              <w:bottom w:val="single" w:color="auto"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left w:val="single" w:color="000000" w:sz="4" w:space="0"/>
              <w:bottom w:val="single" w:color="auto"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21</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《煤矿安全规程》解读</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非统设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4</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b/>
                <w:sz w:val="18"/>
                <w:szCs w:val="18"/>
              </w:rPr>
            </w:pPr>
            <w:r>
              <w:rPr>
                <w:rFonts w:ascii="Times New Roman" w:hAnsi="Times New Roman"/>
                <w:b/>
                <w:kern w:val="0"/>
                <w:sz w:val="18"/>
                <w:szCs w:val="18"/>
              </w:rPr>
              <w:t>通识课</w:t>
            </w:r>
          </w:p>
        </w:tc>
        <w:tc>
          <w:tcPr>
            <w:tcW w:w="522" w:type="dxa"/>
            <w:tcBorders>
              <w:top w:val="single" w:color="auto"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w:t>
            </w:r>
          </w:p>
        </w:tc>
        <w:tc>
          <w:tcPr>
            <w:tcW w:w="941" w:type="dxa"/>
            <w:tcBorders>
              <w:top w:val="single" w:color="auto"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0</w:t>
            </w:r>
          </w:p>
        </w:tc>
        <w:tc>
          <w:tcPr>
            <w:tcW w:w="851" w:type="dxa"/>
            <w:tcBorders>
              <w:top w:val="single" w:color="auto"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14</w:t>
            </w: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22</w:t>
            </w:r>
          </w:p>
        </w:tc>
        <w:tc>
          <w:tcPr>
            <w:tcW w:w="6232" w:type="dxa"/>
            <w:gridSpan w:val="6"/>
            <w:tcBorders>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具体课程见“通识课列表”</w:t>
            </w:r>
          </w:p>
        </w:tc>
      </w:tr>
      <w:tr>
        <w:tblPrEx>
          <w:tblCellMar>
            <w:top w:w="15" w:type="dxa"/>
            <w:left w:w="15" w:type="dxa"/>
            <w:bottom w:w="15" w:type="dxa"/>
            <w:right w:w="15" w:type="dxa"/>
          </w:tblCellMar>
        </w:tblPrEx>
        <w:trPr>
          <w:trHeight w:val="283" w:hRule="atLeast"/>
          <w:jc w:val="center"/>
        </w:trPr>
        <w:tc>
          <w:tcPr>
            <w:tcW w:w="112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Times New Roman" w:hAnsi="Times New Roman"/>
                <w:b/>
                <w:kern w:val="0"/>
                <w:sz w:val="18"/>
                <w:szCs w:val="18"/>
              </w:rPr>
            </w:pPr>
            <w:r>
              <w:rPr>
                <w:rFonts w:ascii="Times New Roman" w:hAnsi="Times New Roman"/>
                <w:b/>
                <w:kern w:val="0"/>
                <w:sz w:val="18"/>
                <w:szCs w:val="18"/>
              </w:rPr>
              <w:t>专业</w:t>
            </w:r>
          </w:p>
          <w:p>
            <w:pPr>
              <w:widowControl/>
              <w:spacing w:line="400" w:lineRule="exact"/>
              <w:jc w:val="center"/>
              <w:textAlignment w:val="center"/>
              <w:rPr>
                <w:rFonts w:ascii="Times New Roman" w:hAnsi="Times New Roman"/>
                <w:b/>
                <w:sz w:val="18"/>
                <w:szCs w:val="18"/>
              </w:rPr>
            </w:pPr>
            <w:r>
              <w:rPr>
                <w:rFonts w:ascii="Times New Roman" w:hAnsi="Times New Roman"/>
                <w:b/>
                <w:kern w:val="0"/>
                <w:sz w:val="18"/>
                <w:szCs w:val="18"/>
              </w:rPr>
              <w:t>拓展课</w:t>
            </w:r>
          </w:p>
        </w:tc>
        <w:tc>
          <w:tcPr>
            <w:tcW w:w="52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94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0</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23</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煤矿开采前沿讲座</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非统设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4</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b/>
                <w:kern w:val="0"/>
                <w:sz w:val="18"/>
                <w:szCs w:val="18"/>
              </w:rPr>
            </w:pPr>
          </w:p>
        </w:tc>
        <w:tc>
          <w:tcPr>
            <w:tcW w:w="522"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94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85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24</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科技文献检索</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1</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4</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b/>
                <w:kern w:val="0"/>
                <w:sz w:val="18"/>
                <w:szCs w:val="18"/>
              </w:rPr>
            </w:pPr>
          </w:p>
        </w:tc>
        <w:tc>
          <w:tcPr>
            <w:tcW w:w="522"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94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85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25</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“三法”基础与实务</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非统设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b/>
                <w:kern w:val="0"/>
                <w:sz w:val="18"/>
                <w:szCs w:val="18"/>
              </w:rPr>
            </w:pPr>
          </w:p>
        </w:tc>
        <w:tc>
          <w:tcPr>
            <w:tcW w:w="522"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94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85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26</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企业运营与发展</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b/>
                <w:kern w:val="0"/>
                <w:sz w:val="18"/>
                <w:szCs w:val="18"/>
              </w:rPr>
            </w:pPr>
          </w:p>
        </w:tc>
        <w:tc>
          <w:tcPr>
            <w:tcW w:w="522"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94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85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27</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商务礼仪概论</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b/>
                <w:kern w:val="0"/>
                <w:sz w:val="18"/>
                <w:szCs w:val="18"/>
              </w:rPr>
            </w:pPr>
          </w:p>
        </w:tc>
        <w:tc>
          <w:tcPr>
            <w:tcW w:w="522"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94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85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28</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中国传统文化概观</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非统设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1</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b/>
                <w:kern w:val="0"/>
                <w:sz w:val="18"/>
                <w:szCs w:val="18"/>
              </w:rPr>
            </w:pPr>
          </w:p>
        </w:tc>
        <w:tc>
          <w:tcPr>
            <w:tcW w:w="522"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94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851" w:type="dxa"/>
            <w:vMerge w:val="continue"/>
            <w:tcBorders>
              <w:left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hint="eastAsia" w:ascii="Times New Roman" w:hAnsi="Times New Roman"/>
                <w:kern w:val="0"/>
                <w:sz w:val="18"/>
                <w:szCs w:val="18"/>
              </w:rPr>
              <w:t>29</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煤炭开采史</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hint="eastAsia" w:ascii="Times New Roman" w:hAnsi="Times New Roman"/>
                <w:kern w:val="0"/>
                <w:sz w:val="18"/>
                <w:szCs w:val="18"/>
              </w:rPr>
              <w:t>1</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非统设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hint="eastAsia" w:ascii="Times New Roman" w:hAnsi="Times New Roman"/>
                <w:kern w:val="0"/>
                <w:sz w:val="18"/>
                <w:szCs w:val="18"/>
              </w:rPr>
              <w:t>3</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b/>
                <w:sz w:val="18"/>
                <w:szCs w:val="18"/>
              </w:rPr>
            </w:pPr>
          </w:p>
        </w:tc>
        <w:tc>
          <w:tcPr>
            <w:tcW w:w="522"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hint="eastAsia" w:ascii="Times New Roman" w:hAnsi="Times New Roman"/>
                <w:kern w:val="0"/>
                <w:sz w:val="18"/>
                <w:szCs w:val="18"/>
              </w:rPr>
              <w:t>30</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sz w:val="18"/>
                <w:szCs w:val="18"/>
              </w:rPr>
              <w:t>心理健康教育概论</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3</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非统设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1</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Times New Roman" w:hAnsi="Times New Roman"/>
                <w:b/>
                <w:kern w:val="0"/>
                <w:sz w:val="18"/>
                <w:szCs w:val="18"/>
              </w:rPr>
            </w:pPr>
            <w:r>
              <w:rPr>
                <w:rFonts w:ascii="Times New Roman" w:hAnsi="Times New Roman"/>
                <w:b/>
                <w:kern w:val="0"/>
                <w:sz w:val="18"/>
                <w:szCs w:val="18"/>
              </w:rPr>
              <w:t>综合</w:t>
            </w:r>
          </w:p>
          <w:p>
            <w:pPr>
              <w:widowControl/>
              <w:spacing w:line="400" w:lineRule="exact"/>
              <w:jc w:val="center"/>
              <w:textAlignment w:val="center"/>
              <w:rPr>
                <w:rFonts w:ascii="Times New Roman" w:hAnsi="Times New Roman"/>
                <w:b/>
                <w:sz w:val="18"/>
                <w:szCs w:val="18"/>
              </w:rPr>
            </w:pPr>
            <w:r>
              <w:rPr>
                <w:rFonts w:ascii="Times New Roman" w:hAnsi="Times New Roman"/>
                <w:b/>
                <w:kern w:val="0"/>
                <w:sz w:val="18"/>
                <w:szCs w:val="18"/>
              </w:rPr>
              <w:t>实践课</w:t>
            </w:r>
          </w:p>
        </w:tc>
        <w:tc>
          <w:tcPr>
            <w:tcW w:w="52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r>
              <w:rPr>
                <w:rFonts w:hint="eastAsia" w:ascii="Times New Roman" w:hAnsi="Times New Roman"/>
                <w:kern w:val="0"/>
                <w:sz w:val="18"/>
                <w:szCs w:val="18"/>
              </w:rPr>
              <w:t>8</w:t>
            </w:r>
          </w:p>
        </w:tc>
        <w:tc>
          <w:tcPr>
            <w:tcW w:w="94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0</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r>
              <w:rPr>
                <w:rFonts w:hint="eastAsia" w:ascii="Times New Roman" w:hAnsi="Times New Roman"/>
                <w:kern w:val="0"/>
                <w:sz w:val="18"/>
                <w:szCs w:val="18"/>
              </w:rPr>
              <w:t>8</w:t>
            </w: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hint="eastAsia" w:ascii="Times New Roman" w:hAnsi="Times New Roman"/>
                <w:sz w:val="18"/>
                <w:szCs w:val="18"/>
              </w:rPr>
              <w:t>31</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Segoe UI Symbol" w:hAnsi="Segoe UI Symbol" w:cs="Segoe UI Symbol"/>
                <w:kern w:val="0"/>
                <w:sz w:val="18"/>
                <w:szCs w:val="18"/>
              </w:rPr>
              <w:t>★</w:t>
            </w:r>
            <w:r>
              <w:rPr>
                <w:rFonts w:ascii="Times New Roman" w:hAnsi="Times New Roman"/>
                <w:sz w:val="18"/>
                <w:szCs w:val="18"/>
              </w:rPr>
              <w:t>地质实习（专）</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1</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1</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22"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hint="eastAsia" w:ascii="Times New Roman" w:hAnsi="Times New Roman"/>
                <w:sz w:val="18"/>
                <w:szCs w:val="18"/>
              </w:rPr>
              <w:t>32</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sz w:val="18"/>
                <w:szCs w:val="18"/>
              </w:rPr>
              <w:t>测量实习</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2</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22"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hint="eastAsia" w:ascii="Times New Roman" w:hAnsi="Times New Roman"/>
                <w:sz w:val="18"/>
                <w:szCs w:val="18"/>
              </w:rPr>
              <w:t>33</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sz w:val="18"/>
                <w:szCs w:val="18"/>
              </w:rPr>
              <w:t>井巷工程课程设计（专）</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hint="eastAsia" w:ascii="Times New Roman" w:hAnsi="Times New Roman"/>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3</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22"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hint="eastAsia" w:ascii="Times New Roman" w:hAnsi="Times New Roman"/>
                <w:kern w:val="0"/>
                <w:sz w:val="18"/>
                <w:szCs w:val="18"/>
              </w:rPr>
              <w:t>34</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kern w:val="0"/>
                <w:sz w:val="18"/>
                <w:szCs w:val="18"/>
              </w:rPr>
            </w:pPr>
            <w:r>
              <w:rPr>
                <w:rFonts w:ascii="Segoe UI Symbol" w:hAnsi="Segoe UI Symbol" w:cs="Segoe UI Symbol"/>
                <w:kern w:val="0"/>
                <w:sz w:val="18"/>
                <w:szCs w:val="18"/>
              </w:rPr>
              <w:t>★</w:t>
            </w:r>
            <w:r>
              <w:rPr>
                <w:rFonts w:ascii="Times New Roman" w:hAnsi="Times New Roman"/>
                <w:kern w:val="0"/>
                <w:sz w:val="18"/>
                <w:szCs w:val="18"/>
              </w:rPr>
              <w:t>矿图实训（专）</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1</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3</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22"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hint="eastAsia" w:ascii="Times New Roman" w:hAnsi="Times New Roman"/>
                <w:sz w:val="18"/>
                <w:szCs w:val="18"/>
              </w:rPr>
              <w:t>35</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矿井通风与安全课程设计（专）</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hint="eastAsia" w:ascii="Times New Roman" w:hAnsi="Times New Roman"/>
                <w:sz w:val="18"/>
                <w:szCs w:val="18"/>
              </w:rPr>
              <w:t>2</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4</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kern w:val="0"/>
                <w:sz w:val="18"/>
                <w:szCs w:val="18"/>
              </w:rPr>
              <w:t>煤炭学院</w:t>
            </w:r>
          </w:p>
        </w:tc>
      </w:tr>
      <w:tr>
        <w:tblPrEx>
          <w:tblCellMar>
            <w:top w:w="15" w:type="dxa"/>
            <w:left w:w="15" w:type="dxa"/>
            <w:bottom w:w="15" w:type="dxa"/>
            <w:right w:w="15" w:type="dxa"/>
          </w:tblCellMar>
        </w:tblPrEx>
        <w:trPr>
          <w:trHeight w:val="283"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22"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94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Times New Roman" w:hAnsi="Times New Roman"/>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hint="eastAsia" w:ascii="Times New Roman" w:hAnsi="Times New Roman"/>
                <w:kern w:val="0"/>
                <w:sz w:val="18"/>
                <w:szCs w:val="18"/>
              </w:rPr>
              <w:t>36</w:t>
            </w:r>
          </w:p>
        </w:tc>
        <w:tc>
          <w:tcPr>
            <w:tcW w:w="2720"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实训实习与毕业设计</w:t>
            </w:r>
          </w:p>
        </w:tc>
        <w:tc>
          <w:tcPr>
            <w:tcW w:w="5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sz w:val="18"/>
                <w:szCs w:val="18"/>
              </w:rPr>
            </w:pPr>
            <w:r>
              <w:rPr>
                <w:rFonts w:ascii="Times New Roman" w:hAnsi="Times New Roman"/>
                <w:sz w:val="18"/>
                <w:szCs w:val="18"/>
              </w:rPr>
              <w:t>10</w:t>
            </w:r>
          </w:p>
        </w:tc>
        <w:tc>
          <w:tcPr>
            <w:tcW w:w="84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统设</w:t>
            </w:r>
          </w:p>
        </w:tc>
        <w:tc>
          <w:tcPr>
            <w:tcW w:w="805"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选修</w:t>
            </w:r>
          </w:p>
        </w:tc>
        <w:tc>
          <w:tcPr>
            <w:tcW w:w="491"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5</w:t>
            </w:r>
          </w:p>
        </w:tc>
        <w:tc>
          <w:tcPr>
            <w:tcW w:w="866" w:type="dxa"/>
            <w:tcBorders>
              <w:top w:val="single" w:color="000000" w:sz="4" w:space="0"/>
              <w:left w:val="single" w:color="000000" w:sz="4" w:space="0"/>
              <w:bottom w:val="single" w:color="000000" w:sz="4" w:space="0"/>
              <w:right w:val="single" w:color="000000"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煤炭学院</w:t>
            </w:r>
          </w:p>
        </w:tc>
      </w:tr>
    </w:tbl>
    <w:p>
      <w:pPr>
        <w:autoSpaceDE w:val="0"/>
        <w:autoSpaceDN w:val="0"/>
        <w:adjustRightInd w:val="0"/>
        <w:spacing w:line="500" w:lineRule="exact"/>
        <w:jc w:val="left"/>
        <w:rPr>
          <w:rFonts w:ascii="Times New Roman" w:hAnsi="Times New Roman"/>
          <w:b/>
          <w:bCs/>
          <w:sz w:val="24"/>
        </w:rPr>
      </w:pPr>
      <w:r>
        <w:rPr>
          <w:rFonts w:ascii="Times New Roman" w:hAnsi="Times New Roman"/>
          <w:b/>
          <w:bCs/>
          <w:sz w:val="24"/>
        </w:rPr>
        <w:t>说明：</w:t>
      </w:r>
    </w:p>
    <w:p>
      <w:pPr>
        <w:autoSpaceDE w:val="0"/>
        <w:autoSpaceDN w:val="0"/>
        <w:adjustRightInd w:val="0"/>
        <w:spacing w:line="360" w:lineRule="exact"/>
        <w:ind w:firstLine="420" w:firstLineChars="200"/>
        <w:jc w:val="left"/>
        <w:rPr>
          <w:rFonts w:ascii="Times New Roman" w:hAnsi="Times New Roman"/>
        </w:rPr>
      </w:pPr>
      <w:r>
        <w:rPr>
          <w:rFonts w:ascii="Times New Roman" w:hAnsi="Times New Roman"/>
        </w:rPr>
        <w:t>1．课程后面的（专）指专科层次课程。</w:t>
      </w:r>
    </w:p>
    <w:p>
      <w:pPr>
        <w:autoSpaceDE w:val="0"/>
        <w:autoSpaceDN w:val="0"/>
        <w:adjustRightInd w:val="0"/>
        <w:spacing w:line="360" w:lineRule="exact"/>
        <w:ind w:firstLine="420" w:firstLineChars="200"/>
        <w:jc w:val="left"/>
        <w:rPr>
          <w:rFonts w:ascii="Times New Roman" w:hAnsi="Times New Roman"/>
        </w:rPr>
      </w:pPr>
      <w:r>
        <w:rPr>
          <w:rFonts w:ascii="Times New Roman" w:hAnsi="Times New Roman"/>
        </w:rPr>
        <w:t>2．带“</w:t>
      </w:r>
      <w:r>
        <w:rPr>
          <w:rFonts w:ascii="Segoe UI Symbol" w:hAnsi="Segoe UI Symbol" w:cs="Segoe UI Symbol"/>
        </w:rPr>
        <w:t>★</w:t>
      </w:r>
      <w:r>
        <w:rPr>
          <w:rFonts w:ascii="Times New Roman" w:hAnsi="Times New Roman"/>
        </w:rPr>
        <w:t>”的课程为证书课程。</w:t>
      </w:r>
    </w:p>
    <w:p>
      <w:pPr>
        <w:autoSpaceDE w:val="0"/>
        <w:autoSpaceDN w:val="0"/>
        <w:adjustRightInd w:val="0"/>
        <w:spacing w:line="360" w:lineRule="exact"/>
        <w:ind w:firstLine="420" w:firstLineChars="200"/>
        <w:jc w:val="left"/>
        <w:rPr>
          <w:rFonts w:ascii="Times New Roman" w:hAnsi="Times New Roman"/>
        </w:rPr>
      </w:pPr>
      <w:r>
        <w:rPr>
          <w:rFonts w:ascii="Times New Roman" w:hAnsi="Times New Roman"/>
        </w:rPr>
        <w:t>3．计算机应用基础、高等数学基础、英语I（1）为三选一课程，课程性质为选修课，一旦选中即为必修课。</w:t>
      </w:r>
    </w:p>
    <w:p>
      <w:pPr>
        <w:pStyle w:val="20"/>
        <w:spacing w:line="300" w:lineRule="exact"/>
        <w:jc w:val="both"/>
        <w:rPr>
          <w:rFonts w:ascii="Times New Roman" w:hAnsi="Times New Roman" w:eastAsia="宋体"/>
          <w:b w:val="0"/>
          <w:bCs w:val="0"/>
          <w:sz w:val="21"/>
          <w:szCs w:val="22"/>
        </w:rPr>
      </w:pPr>
      <w:r>
        <w:rPr>
          <w:rFonts w:ascii="Times New Roman" w:hAnsi="Times New Roman" w:eastAsia="宋体"/>
          <w:b w:val="0"/>
          <w:bCs w:val="0"/>
          <w:sz w:val="21"/>
          <w:szCs w:val="22"/>
        </w:rPr>
        <w:br w:type="page"/>
      </w:r>
    </w:p>
    <w:p>
      <w:pPr>
        <w:pStyle w:val="20"/>
        <w:spacing w:beforeLines="50" w:afterLines="50" w:line="500" w:lineRule="exact"/>
        <w:rPr>
          <w:rFonts w:ascii="Times New Roman" w:hAnsi="Times New Roman" w:eastAsia="华文中宋"/>
          <w:sz w:val="36"/>
          <w:szCs w:val="36"/>
        </w:rPr>
      </w:pPr>
      <w:bookmarkStart w:id="15" w:name="_Toc423019096"/>
      <w:r>
        <w:rPr>
          <w:rFonts w:ascii="Times New Roman" w:hAnsi="Times New Roman" w:eastAsia="华文中宋"/>
          <w:sz w:val="36"/>
          <w:szCs w:val="36"/>
        </w:rPr>
        <w:t>第四部分煤矿开采技术专业（专科）专业规则说明</w:t>
      </w:r>
      <w:bookmarkEnd w:id="15"/>
    </w:p>
    <w:tbl>
      <w:tblPr>
        <w:tblStyle w:val="21"/>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35"/>
        <w:gridCol w:w="683"/>
        <w:gridCol w:w="850"/>
        <w:gridCol w:w="1559"/>
        <w:gridCol w:w="437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29" w:hRule="atLeast"/>
          <w:jc w:val="center"/>
        </w:trPr>
        <w:tc>
          <w:tcPr>
            <w:tcW w:w="2368" w:type="dxa"/>
            <w:gridSpan w:val="3"/>
            <w:vAlign w:val="center"/>
          </w:tcPr>
          <w:p>
            <w:pPr>
              <w:spacing w:line="280" w:lineRule="exact"/>
              <w:ind w:firstLine="422" w:firstLineChars="200"/>
              <w:rPr>
                <w:rFonts w:ascii="Times New Roman" w:hAnsi="Times New Roman"/>
                <w:b/>
                <w:szCs w:val="21"/>
              </w:rPr>
            </w:pPr>
            <w:r>
              <w:rPr>
                <w:rFonts w:ascii="Times New Roman" w:hAnsi="Times New Roman"/>
                <w:b/>
                <w:szCs w:val="21"/>
              </w:rPr>
              <w:t>专业名称</w:t>
            </w:r>
          </w:p>
        </w:tc>
        <w:tc>
          <w:tcPr>
            <w:tcW w:w="5933" w:type="dxa"/>
            <w:gridSpan w:val="2"/>
            <w:vAlign w:val="center"/>
          </w:tcPr>
          <w:p>
            <w:pPr>
              <w:spacing w:line="280" w:lineRule="exact"/>
              <w:jc w:val="center"/>
              <w:rPr>
                <w:rFonts w:ascii="Times New Roman" w:hAnsi="Times New Roman"/>
                <w:b/>
                <w:szCs w:val="21"/>
              </w:rPr>
            </w:pPr>
            <w:r>
              <w:rPr>
                <w:rFonts w:ascii="Times New Roman" w:hAnsi="Times New Roman"/>
                <w:bCs/>
                <w:szCs w:val="21"/>
              </w:rPr>
              <w:t>煤矿开采技术</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2" w:hRule="atLeast"/>
          <w:jc w:val="center"/>
        </w:trPr>
        <w:tc>
          <w:tcPr>
            <w:tcW w:w="2368" w:type="dxa"/>
            <w:gridSpan w:val="3"/>
            <w:vAlign w:val="center"/>
          </w:tcPr>
          <w:p>
            <w:pPr>
              <w:spacing w:line="280" w:lineRule="exact"/>
              <w:rPr>
                <w:rFonts w:ascii="Times New Roman" w:hAnsi="Times New Roman"/>
                <w:b/>
                <w:szCs w:val="21"/>
              </w:rPr>
            </w:pPr>
            <w:r>
              <w:rPr>
                <w:rFonts w:ascii="Times New Roman" w:hAnsi="Times New Roman"/>
                <w:b/>
                <w:szCs w:val="21"/>
              </w:rPr>
              <w:t>一、招生对象</w:t>
            </w:r>
          </w:p>
        </w:tc>
        <w:tc>
          <w:tcPr>
            <w:tcW w:w="5933" w:type="dxa"/>
            <w:gridSpan w:val="2"/>
            <w:vAlign w:val="center"/>
          </w:tcPr>
          <w:p>
            <w:pPr>
              <w:pStyle w:val="19"/>
              <w:adjustRightInd w:val="0"/>
              <w:snapToGrid w:val="0"/>
              <w:spacing w:before="0" w:beforeAutospacing="0" w:after="0" w:afterAutospacing="0"/>
              <w:ind w:firstLine="420" w:firstLineChars="200"/>
              <w:rPr>
                <w:rFonts w:ascii="Times New Roman" w:hAnsi="Times New Roman" w:cs="Times New Roman"/>
                <w:sz w:val="21"/>
                <w:szCs w:val="21"/>
              </w:rPr>
            </w:pPr>
            <w:r>
              <w:rPr>
                <w:rFonts w:ascii="Times New Roman" w:hAnsi="Times New Roman" w:cs="Times New Roman"/>
                <w:sz w:val="21"/>
                <w:szCs w:val="21"/>
              </w:rPr>
              <w:t>具有高中或同等（包括职高、中专、技校毕业生）学历的煤炭企业在职职工和社会青年等。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84" w:hRule="atLeast"/>
          <w:jc w:val="center"/>
        </w:trPr>
        <w:tc>
          <w:tcPr>
            <w:tcW w:w="835" w:type="dxa"/>
            <w:vMerge w:val="restart"/>
            <w:vAlign w:val="center"/>
          </w:tcPr>
          <w:p>
            <w:pPr>
              <w:spacing w:line="280" w:lineRule="exact"/>
              <w:rPr>
                <w:rFonts w:ascii="Times New Roman" w:hAnsi="Times New Roman"/>
                <w:b/>
                <w:szCs w:val="21"/>
              </w:rPr>
            </w:pPr>
            <w:r>
              <w:rPr>
                <w:rFonts w:ascii="Times New Roman" w:hAnsi="Times New Roman"/>
                <w:b/>
                <w:szCs w:val="21"/>
              </w:rPr>
              <w:t>二、</w:t>
            </w:r>
          </w:p>
          <w:p>
            <w:pPr>
              <w:spacing w:line="280" w:lineRule="exact"/>
              <w:rPr>
                <w:rFonts w:ascii="Times New Roman" w:hAnsi="Times New Roman"/>
                <w:b/>
                <w:szCs w:val="21"/>
              </w:rPr>
            </w:pPr>
            <w:r>
              <w:rPr>
                <w:rFonts w:ascii="Times New Roman" w:hAnsi="Times New Roman"/>
                <w:b/>
                <w:szCs w:val="21"/>
              </w:rPr>
              <w:t>培</w:t>
            </w:r>
          </w:p>
          <w:p>
            <w:pPr>
              <w:spacing w:line="280" w:lineRule="exact"/>
              <w:rPr>
                <w:rFonts w:ascii="Times New Roman" w:hAnsi="Times New Roman"/>
                <w:b/>
                <w:szCs w:val="21"/>
              </w:rPr>
            </w:pPr>
            <w:r>
              <w:rPr>
                <w:rFonts w:ascii="Times New Roman" w:hAnsi="Times New Roman"/>
                <w:b/>
                <w:szCs w:val="21"/>
              </w:rPr>
              <w:t>养</w:t>
            </w:r>
          </w:p>
          <w:p>
            <w:pPr>
              <w:spacing w:line="280" w:lineRule="exact"/>
              <w:rPr>
                <w:rFonts w:ascii="Times New Roman" w:hAnsi="Times New Roman"/>
                <w:b/>
                <w:szCs w:val="21"/>
              </w:rPr>
            </w:pPr>
            <w:r>
              <w:rPr>
                <w:rFonts w:ascii="Times New Roman" w:hAnsi="Times New Roman"/>
                <w:b/>
                <w:szCs w:val="21"/>
              </w:rPr>
              <w:t>目</w:t>
            </w:r>
          </w:p>
          <w:p>
            <w:pPr>
              <w:spacing w:line="280" w:lineRule="exact"/>
              <w:rPr>
                <w:rFonts w:ascii="Times New Roman" w:hAnsi="Times New Roman"/>
                <w:b/>
                <w:szCs w:val="21"/>
              </w:rPr>
            </w:pPr>
            <w:r>
              <w:rPr>
                <w:rFonts w:ascii="Times New Roman" w:hAnsi="Times New Roman"/>
                <w:b/>
                <w:szCs w:val="21"/>
              </w:rPr>
              <w:t>标</w:t>
            </w:r>
          </w:p>
          <w:p>
            <w:pPr>
              <w:spacing w:line="280" w:lineRule="exact"/>
              <w:rPr>
                <w:rFonts w:ascii="Times New Roman" w:hAnsi="Times New Roman"/>
                <w:b/>
                <w:szCs w:val="21"/>
              </w:rPr>
            </w:pPr>
            <w:r>
              <w:rPr>
                <w:rFonts w:ascii="Times New Roman" w:hAnsi="Times New Roman"/>
                <w:b/>
                <w:szCs w:val="21"/>
              </w:rPr>
              <w:t>与</w:t>
            </w:r>
          </w:p>
          <w:p>
            <w:pPr>
              <w:spacing w:line="280" w:lineRule="exact"/>
              <w:rPr>
                <w:rFonts w:ascii="Times New Roman" w:hAnsi="Times New Roman"/>
                <w:b/>
                <w:szCs w:val="21"/>
              </w:rPr>
            </w:pPr>
            <w:r>
              <w:rPr>
                <w:rFonts w:ascii="Times New Roman" w:hAnsi="Times New Roman"/>
                <w:b/>
                <w:szCs w:val="21"/>
              </w:rPr>
              <w:t>要</w:t>
            </w:r>
          </w:p>
          <w:p>
            <w:pPr>
              <w:spacing w:line="280" w:lineRule="exact"/>
              <w:rPr>
                <w:rFonts w:ascii="Times New Roman" w:hAnsi="Times New Roman"/>
                <w:b/>
                <w:szCs w:val="21"/>
              </w:rPr>
            </w:pPr>
            <w:r>
              <w:rPr>
                <w:rFonts w:ascii="Times New Roman" w:hAnsi="Times New Roman"/>
                <w:b/>
                <w:szCs w:val="21"/>
              </w:rPr>
              <w:t>求</w:t>
            </w:r>
          </w:p>
        </w:tc>
        <w:tc>
          <w:tcPr>
            <w:tcW w:w="1533" w:type="dxa"/>
            <w:gridSpan w:val="2"/>
            <w:vAlign w:val="center"/>
          </w:tcPr>
          <w:p>
            <w:pPr>
              <w:spacing w:line="280" w:lineRule="exact"/>
              <w:rPr>
                <w:rFonts w:ascii="Times New Roman" w:hAnsi="Times New Roman"/>
                <w:szCs w:val="21"/>
              </w:rPr>
            </w:pPr>
            <w:r>
              <w:rPr>
                <w:rFonts w:ascii="Times New Roman" w:hAnsi="Times New Roman"/>
                <w:szCs w:val="21"/>
              </w:rPr>
              <w:t>2.1 培养目标</w:t>
            </w:r>
          </w:p>
        </w:tc>
        <w:tc>
          <w:tcPr>
            <w:tcW w:w="5933" w:type="dxa"/>
            <w:gridSpan w:val="2"/>
            <w:vAlign w:val="center"/>
          </w:tcPr>
          <w:p>
            <w:pPr>
              <w:pStyle w:val="19"/>
              <w:adjustRightInd w:val="0"/>
              <w:snapToGrid w:val="0"/>
              <w:spacing w:before="0" w:beforeAutospacing="0" w:after="0" w:afterAutospacing="0"/>
              <w:ind w:firstLine="420" w:firstLineChars="200"/>
              <w:rPr>
                <w:rFonts w:ascii="Times New Roman" w:hAnsi="Times New Roman" w:cs="Times New Roman"/>
                <w:sz w:val="21"/>
                <w:szCs w:val="21"/>
              </w:rPr>
            </w:pPr>
            <w:r>
              <w:rPr>
                <w:rFonts w:ascii="Times New Roman" w:hAnsi="Times New Roman" w:cs="Times New Roman"/>
                <w:sz w:val="21"/>
                <w:szCs w:val="21"/>
              </w:rPr>
              <w:t>本专业培养适应社会主义建设与发展需要，德、智、体、美全面发展，煤矿开采技术与管理知识扎实，基础厚、知识面宽、素质高、能力强，面向基层、面向煤矿生产一线，能从事煤矿采掘工程设计、生产组织、技术与安全管理的工程技术应用性人才。</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125" w:hRule="atLeast"/>
          <w:jc w:val="center"/>
        </w:trPr>
        <w:tc>
          <w:tcPr>
            <w:tcW w:w="835" w:type="dxa"/>
            <w:vMerge w:val="continue"/>
            <w:vAlign w:val="center"/>
          </w:tcPr>
          <w:p>
            <w:pPr>
              <w:rPr>
                <w:rFonts w:ascii="Times New Roman" w:hAnsi="Times New Roman"/>
                <w:szCs w:val="21"/>
              </w:rPr>
            </w:pPr>
          </w:p>
        </w:tc>
        <w:tc>
          <w:tcPr>
            <w:tcW w:w="1533" w:type="dxa"/>
            <w:gridSpan w:val="2"/>
            <w:tcBorders>
              <w:bottom w:val="single" w:color="auto" w:sz="4" w:space="0"/>
            </w:tcBorders>
            <w:vAlign w:val="center"/>
          </w:tcPr>
          <w:p>
            <w:pPr>
              <w:rPr>
                <w:rFonts w:ascii="Times New Roman" w:hAnsi="Times New Roman"/>
                <w:szCs w:val="21"/>
              </w:rPr>
            </w:pPr>
            <w:r>
              <w:rPr>
                <w:rFonts w:ascii="Times New Roman" w:hAnsi="Times New Roman"/>
                <w:szCs w:val="21"/>
              </w:rPr>
              <w:t>2.2 培养要求</w:t>
            </w:r>
          </w:p>
        </w:tc>
        <w:tc>
          <w:tcPr>
            <w:tcW w:w="5933" w:type="dxa"/>
            <w:gridSpan w:val="2"/>
            <w:tcBorders>
              <w:bottom w:val="single" w:color="auto" w:sz="4" w:space="0"/>
            </w:tcBorders>
            <w:vAlign w:val="center"/>
          </w:tcPr>
          <w:p>
            <w:pPr>
              <w:pStyle w:val="19"/>
              <w:adjustRightInd w:val="0"/>
              <w:snapToGrid w:val="0"/>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（一）政治思想道德方面</w:t>
            </w:r>
          </w:p>
          <w:p>
            <w:pPr>
              <w:pStyle w:val="19"/>
              <w:adjustRightInd w:val="0"/>
              <w:snapToGrid w:val="0"/>
              <w:spacing w:before="0" w:beforeAutospacing="0" w:after="0" w:afterAutospacing="0"/>
              <w:ind w:firstLine="420" w:firstLineChars="200"/>
              <w:rPr>
                <w:rFonts w:ascii="Times New Roman" w:hAnsi="Times New Roman" w:cs="Times New Roman"/>
                <w:sz w:val="21"/>
                <w:szCs w:val="21"/>
              </w:rPr>
            </w:pPr>
            <w:r>
              <w:rPr>
                <w:rFonts w:ascii="Times New Roman" w:hAnsi="Times New Roman" w:cs="Times New Roman"/>
                <w:sz w:val="21"/>
                <w:szCs w:val="21"/>
              </w:rPr>
              <w:t>热爱祖国，拥护党的基本路线，具有全心全意为人民服务的精神；遵纪守法，有良好的社会公德和职业道德。</w:t>
            </w:r>
          </w:p>
          <w:p>
            <w:pPr>
              <w:pStyle w:val="19"/>
              <w:adjustRightInd w:val="0"/>
              <w:snapToGrid w:val="0"/>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（二）业务知识与能力要求</w:t>
            </w:r>
          </w:p>
          <w:p>
            <w:pPr>
              <w:pStyle w:val="19"/>
              <w:adjustRightInd w:val="0"/>
              <w:snapToGrid w:val="0"/>
              <w:spacing w:before="0" w:beforeAutospacing="0" w:after="0" w:afterAutospacing="0"/>
              <w:ind w:firstLine="315" w:firstLineChars="150"/>
              <w:rPr>
                <w:rFonts w:ascii="Times New Roman" w:hAnsi="Times New Roman" w:cs="Times New Roman"/>
                <w:sz w:val="21"/>
                <w:szCs w:val="21"/>
              </w:rPr>
            </w:pPr>
            <w:r>
              <w:rPr>
                <w:rFonts w:ascii="Times New Roman" w:hAnsi="Times New Roman" w:cs="Times New Roman"/>
                <w:sz w:val="21"/>
                <w:szCs w:val="21"/>
              </w:rPr>
              <w:t>1.掌握本专业所需的工程科学基础理论和专业知识，掌握煤矿开采技术与煤矿管理的基本理论和基础知识，并能应用基础理论和基础知识进行矿井开拓、煤矿开采工程设计的初步能力；</w:t>
            </w:r>
          </w:p>
          <w:p>
            <w:pPr>
              <w:pStyle w:val="19"/>
              <w:adjustRightInd w:val="0"/>
              <w:snapToGrid w:val="0"/>
              <w:spacing w:before="0" w:beforeAutospacing="0" w:after="0" w:afterAutospacing="0"/>
              <w:ind w:firstLine="315" w:firstLineChars="150"/>
              <w:rPr>
                <w:rFonts w:ascii="Times New Roman" w:hAnsi="Times New Roman" w:cs="Times New Roman"/>
                <w:sz w:val="21"/>
                <w:szCs w:val="21"/>
              </w:rPr>
            </w:pPr>
            <w:r>
              <w:rPr>
                <w:rFonts w:ascii="Times New Roman" w:hAnsi="Times New Roman" w:cs="Times New Roman"/>
                <w:sz w:val="21"/>
                <w:szCs w:val="21"/>
              </w:rPr>
              <w:t>2.具有分析和解决采区巷道布置方案设计、采煤施工设计以及施工中实际问题的能力，并具有进行适当技术改造、科技研发以及应用的初步能力，在编制施工作业规程和组织施工中能够发现事故预兆，处理煤矿事故，采取安全措施的能力。</w:t>
            </w:r>
          </w:p>
          <w:p>
            <w:pPr>
              <w:pStyle w:val="19"/>
              <w:adjustRightInd w:val="0"/>
              <w:snapToGrid w:val="0"/>
              <w:spacing w:before="0" w:beforeAutospacing="0" w:after="0" w:afterAutospacing="0"/>
              <w:rPr>
                <w:rFonts w:ascii="Times New Roman" w:hAnsi="Times New Roman" w:cs="Times New Roman"/>
                <w:sz w:val="21"/>
                <w:szCs w:val="21"/>
              </w:rPr>
            </w:pPr>
            <w:r>
              <w:rPr>
                <w:rFonts w:ascii="Times New Roman" w:hAnsi="Times New Roman" w:cs="Times New Roman"/>
                <w:sz w:val="21"/>
                <w:szCs w:val="21"/>
              </w:rPr>
              <w:t>（三）身体素质方面</w:t>
            </w:r>
          </w:p>
          <w:p>
            <w:pPr>
              <w:pStyle w:val="19"/>
              <w:adjustRightInd w:val="0"/>
              <w:snapToGrid w:val="0"/>
              <w:spacing w:before="0" w:beforeAutospacing="0" w:after="0" w:afterAutospacing="0"/>
              <w:ind w:firstLine="420" w:firstLineChars="200"/>
              <w:rPr>
                <w:rFonts w:ascii="Times New Roman" w:hAnsi="Times New Roman" w:cs="Times New Roman"/>
                <w:sz w:val="21"/>
                <w:szCs w:val="21"/>
              </w:rPr>
            </w:pPr>
            <w:r>
              <w:rPr>
                <w:rFonts w:ascii="Times New Roman" w:hAnsi="Times New Roman" w:cs="Times New Roman"/>
                <w:sz w:val="21"/>
                <w:szCs w:val="21"/>
              </w:rPr>
              <w:t>身体健康、能精力充沛地工作。</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50" w:hRule="atLeast"/>
          <w:jc w:val="center"/>
        </w:trPr>
        <w:tc>
          <w:tcPr>
            <w:tcW w:w="835" w:type="dxa"/>
            <w:vMerge w:val="restart"/>
            <w:vAlign w:val="center"/>
          </w:tcPr>
          <w:p>
            <w:pPr>
              <w:rPr>
                <w:rFonts w:ascii="Times New Roman" w:hAnsi="Times New Roman"/>
                <w:b/>
                <w:szCs w:val="21"/>
              </w:rPr>
            </w:pPr>
            <w:r>
              <w:rPr>
                <w:rFonts w:ascii="Times New Roman" w:hAnsi="Times New Roman"/>
                <w:b/>
                <w:szCs w:val="21"/>
              </w:rPr>
              <w:t>三、</w:t>
            </w:r>
          </w:p>
          <w:p>
            <w:pPr>
              <w:rPr>
                <w:rFonts w:ascii="Times New Roman" w:hAnsi="Times New Roman"/>
                <w:b/>
                <w:szCs w:val="21"/>
              </w:rPr>
            </w:pPr>
            <w:r>
              <w:rPr>
                <w:rFonts w:ascii="Times New Roman" w:hAnsi="Times New Roman"/>
                <w:b/>
                <w:szCs w:val="21"/>
              </w:rPr>
              <w:t>培</w:t>
            </w:r>
          </w:p>
          <w:p>
            <w:pPr>
              <w:rPr>
                <w:rFonts w:ascii="Times New Roman" w:hAnsi="Times New Roman"/>
                <w:b/>
                <w:szCs w:val="21"/>
              </w:rPr>
            </w:pPr>
            <w:r>
              <w:rPr>
                <w:rFonts w:ascii="Times New Roman" w:hAnsi="Times New Roman"/>
                <w:b/>
                <w:szCs w:val="21"/>
              </w:rPr>
              <w:t>养</w:t>
            </w:r>
          </w:p>
          <w:p>
            <w:pPr>
              <w:rPr>
                <w:rFonts w:ascii="Times New Roman" w:hAnsi="Times New Roman"/>
                <w:b/>
                <w:szCs w:val="21"/>
              </w:rPr>
            </w:pPr>
            <w:r>
              <w:rPr>
                <w:rFonts w:ascii="Times New Roman" w:hAnsi="Times New Roman"/>
                <w:b/>
                <w:szCs w:val="21"/>
              </w:rPr>
              <w:t>规</w:t>
            </w:r>
          </w:p>
          <w:p>
            <w:pPr>
              <w:rPr>
                <w:rFonts w:ascii="Times New Roman" w:hAnsi="Times New Roman"/>
                <w:szCs w:val="21"/>
              </w:rPr>
            </w:pPr>
            <w:r>
              <w:rPr>
                <w:rFonts w:ascii="Times New Roman" w:hAnsi="Times New Roman"/>
                <w:b/>
                <w:szCs w:val="21"/>
              </w:rPr>
              <w:t>格</w:t>
            </w:r>
          </w:p>
        </w:tc>
        <w:tc>
          <w:tcPr>
            <w:tcW w:w="1533" w:type="dxa"/>
            <w:gridSpan w:val="2"/>
            <w:tcBorders>
              <w:bottom w:val="single" w:color="auto" w:sz="4" w:space="0"/>
            </w:tcBorders>
            <w:vAlign w:val="center"/>
          </w:tcPr>
          <w:p>
            <w:pPr>
              <w:rPr>
                <w:rFonts w:ascii="Times New Roman" w:hAnsi="Times New Roman"/>
                <w:szCs w:val="21"/>
              </w:rPr>
            </w:pPr>
            <w:r>
              <w:rPr>
                <w:rFonts w:ascii="Times New Roman" w:hAnsi="Times New Roman"/>
                <w:szCs w:val="21"/>
              </w:rPr>
              <w:t>3.1 层次</w:t>
            </w:r>
          </w:p>
        </w:tc>
        <w:tc>
          <w:tcPr>
            <w:tcW w:w="5933" w:type="dxa"/>
            <w:gridSpan w:val="2"/>
            <w:tcBorders>
              <w:bottom w:val="single" w:color="auto" w:sz="4" w:space="0"/>
            </w:tcBorders>
            <w:vAlign w:val="center"/>
          </w:tcPr>
          <w:p>
            <w:pPr>
              <w:ind w:firstLine="420" w:firstLineChars="200"/>
              <w:rPr>
                <w:rFonts w:ascii="Times New Roman" w:hAnsi="Times New Roman"/>
                <w:szCs w:val="21"/>
              </w:rPr>
            </w:pPr>
            <w:r>
              <w:rPr>
                <w:rFonts w:ascii="Times New Roman" w:hAnsi="Times New Roman"/>
                <w:szCs w:val="21"/>
              </w:rPr>
              <w:t>专科</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835" w:type="dxa"/>
            <w:vMerge w:val="continue"/>
            <w:vAlign w:val="center"/>
          </w:tcPr>
          <w:p>
            <w:pPr>
              <w:rPr>
                <w:rFonts w:ascii="Times New Roman" w:hAnsi="Times New Roman"/>
                <w:szCs w:val="21"/>
              </w:rPr>
            </w:pPr>
          </w:p>
        </w:tc>
        <w:tc>
          <w:tcPr>
            <w:tcW w:w="1533" w:type="dxa"/>
            <w:gridSpan w:val="2"/>
            <w:tcBorders>
              <w:top w:val="single" w:color="auto" w:sz="4" w:space="0"/>
              <w:bottom w:val="single" w:color="auto" w:sz="4" w:space="0"/>
            </w:tcBorders>
            <w:vAlign w:val="center"/>
          </w:tcPr>
          <w:p>
            <w:pPr>
              <w:rPr>
                <w:rFonts w:ascii="Times New Roman" w:hAnsi="Times New Roman"/>
                <w:szCs w:val="21"/>
              </w:rPr>
            </w:pPr>
            <w:r>
              <w:rPr>
                <w:rFonts w:ascii="Times New Roman" w:hAnsi="Times New Roman"/>
                <w:szCs w:val="21"/>
              </w:rPr>
              <w:t>3.2 学制</w:t>
            </w:r>
          </w:p>
        </w:tc>
        <w:tc>
          <w:tcPr>
            <w:tcW w:w="5933" w:type="dxa"/>
            <w:gridSpan w:val="2"/>
            <w:tcBorders>
              <w:top w:val="single" w:color="auto" w:sz="4" w:space="0"/>
              <w:bottom w:val="single" w:color="auto" w:sz="4" w:space="0"/>
            </w:tcBorders>
            <w:vAlign w:val="center"/>
          </w:tcPr>
          <w:p>
            <w:pPr>
              <w:ind w:firstLine="420" w:firstLineChars="200"/>
              <w:rPr>
                <w:rFonts w:ascii="Times New Roman" w:hAnsi="Times New Roman"/>
                <w:szCs w:val="21"/>
              </w:rPr>
            </w:pPr>
            <w:r>
              <w:rPr>
                <w:rFonts w:ascii="Times New Roman" w:hAnsi="Times New Roman"/>
                <w:szCs w:val="21"/>
              </w:rPr>
              <w:t>两年制，三年业余学习，最短学习年限不低于两年半，最长八年。</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224" w:hRule="atLeast"/>
          <w:jc w:val="center"/>
        </w:trPr>
        <w:tc>
          <w:tcPr>
            <w:tcW w:w="835" w:type="dxa"/>
            <w:vMerge w:val="continue"/>
            <w:vAlign w:val="center"/>
          </w:tcPr>
          <w:p>
            <w:pPr>
              <w:rPr>
                <w:rFonts w:ascii="Times New Roman" w:hAnsi="Times New Roman"/>
                <w:szCs w:val="21"/>
              </w:rPr>
            </w:pPr>
          </w:p>
        </w:tc>
        <w:tc>
          <w:tcPr>
            <w:tcW w:w="1533" w:type="dxa"/>
            <w:gridSpan w:val="2"/>
            <w:tcBorders>
              <w:top w:val="single" w:color="auto" w:sz="4" w:space="0"/>
              <w:bottom w:val="single" w:color="auto" w:sz="4" w:space="0"/>
            </w:tcBorders>
            <w:vAlign w:val="center"/>
          </w:tcPr>
          <w:p>
            <w:pPr>
              <w:rPr>
                <w:rFonts w:ascii="Times New Roman" w:hAnsi="Times New Roman"/>
                <w:szCs w:val="21"/>
              </w:rPr>
            </w:pPr>
            <w:r>
              <w:rPr>
                <w:rFonts w:ascii="Times New Roman" w:hAnsi="Times New Roman"/>
                <w:szCs w:val="21"/>
              </w:rPr>
              <w:t>3.3 学分</w:t>
            </w:r>
          </w:p>
        </w:tc>
        <w:tc>
          <w:tcPr>
            <w:tcW w:w="5933" w:type="dxa"/>
            <w:gridSpan w:val="2"/>
            <w:tcBorders>
              <w:top w:val="single" w:color="auto" w:sz="4" w:space="0"/>
              <w:bottom w:val="single" w:color="auto" w:sz="4" w:space="0"/>
            </w:tcBorders>
            <w:vAlign w:val="center"/>
          </w:tcPr>
          <w:p>
            <w:pPr>
              <w:ind w:firstLine="420" w:firstLineChars="200"/>
              <w:rPr>
                <w:rFonts w:ascii="Times New Roman" w:hAnsi="Times New Roman"/>
                <w:szCs w:val="21"/>
              </w:rPr>
            </w:pPr>
            <w:r>
              <w:rPr>
                <w:rFonts w:ascii="Times New Roman" w:hAnsi="Times New Roman"/>
                <w:szCs w:val="21"/>
              </w:rPr>
              <w:t>“专科学历证书”最低毕业要求76学分。其中：职业资格证书12学分。</w:t>
            </w:r>
          </w:p>
          <w:p>
            <w:pPr>
              <w:ind w:firstLine="420" w:firstLineChars="200"/>
              <w:rPr>
                <w:rFonts w:ascii="Times New Roman" w:hAnsi="Times New Roman"/>
                <w:sz w:val="18"/>
                <w:szCs w:val="18"/>
              </w:rPr>
            </w:pPr>
            <w:r>
              <w:rPr>
                <w:rFonts w:ascii="Times New Roman" w:hAnsi="Times New Roman"/>
                <w:szCs w:val="21"/>
              </w:rPr>
              <w:t>“采煤工(高级)职业资格证书”包括3门必修课程、2门实训课程，最低要求12学分。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835" w:type="dxa"/>
            <w:vMerge w:val="continue"/>
            <w:vAlign w:val="center"/>
          </w:tcPr>
          <w:p>
            <w:pPr>
              <w:rPr>
                <w:rFonts w:ascii="Times New Roman" w:hAnsi="Times New Roman"/>
                <w:szCs w:val="21"/>
              </w:rPr>
            </w:pPr>
          </w:p>
        </w:tc>
        <w:tc>
          <w:tcPr>
            <w:tcW w:w="683" w:type="dxa"/>
            <w:vMerge w:val="restart"/>
            <w:tcBorders>
              <w:top w:val="single" w:color="auto" w:sz="4" w:space="0"/>
            </w:tcBorders>
            <w:vAlign w:val="center"/>
          </w:tcPr>
          <w:p>
            <w:pPr>
              <w:jc w:val="center"/>
              <w:rPr>
                <w:rFonts w:ascii="Times New Roman" w:hAnsi="Times New Roman"/>
                <w:szCs w:val="21"/>
              </w:rPr>
            </w:pPr>
            <w:r>
              <w:rPr>
                <w:rFonts w:ascii="Times New Roman" w:hAnsi="Times New Roman"/>
                <w:szCs w:val="21"/>
              </w:rPr>
              <w:t>3.4 证书</w:t>
            </w:r>
          </w:p>
        </w:tc>
        <w:tc>
          <w:tcPr>
            <w:tcW w:w="850" w:type="dxa"/>
            <w:tcBorders>
              <w:top w:val="single" w:color="auto" w:sz="4" w:space="0"/>
            </w:tcBorders>
            <w:vAlign w:val="center"/>
          </w:tcPr>
          <w:p>
            <w:pPr>
              <w:jc w:val="center"/>
              <w:rPr>
                <w:rFonts w:ascii="Times New Roman" w:hAnsi="Times New Roman"/>
                <w:szCs w:val="21"/>
              </w:rPr>
            </w:pPr>
            <w:r>
              <w:rPr>
                <w:rFonts w:ascii="Times New Roman" w:hAnsi="Times New Roman"/>
                <w:szCs w:val="21"/>
              </w:rPr>
              <w:t>类型</w:t>
            </w:r>
          </w:p>
        </w:tc>
        <w:tc>
          <w:tcPr>
            <w:tcW w:w="1559" w:type="dxa"/>
            <w:tcBorders>
              <w:top w:val="single" w:color="auto" w:sz="4" w:space="0"/>
              <w:bottom w:val="single" w:color="auto" w:sz="6" w:space="0"/>
              <w:right w:val="single" w:color="auto" w:sz="4" w:space="0"/>
            </w:tcBorders>
            <w:vAlign w:val="center"/>
          </w:tcPr>
          <w:p>
            <w:pPr>
              <w:jc w:val="center"/>
              <w:rPr>
                <w:rFonts w:ascii="Times New Roman" w:hAnsi="Times New Roman"/>
                <w:szCs w:val="21"/>
              </w:rPr>
            </w:pPr>
            <w:r>
              <w:rPr>
                <w:rFonts w:ascii="Times New Roman" w:hAnsi="Times New Roman"/>
                <w:szCs w:val="21"/>
              </w:rPr>
              <w:t>学历证书</w:t>
            </w:r>
          </w:p>
        </w:tc>
        <w:tc>
          <w:tcPr>
            <w:tcW w:w="4374" w:type="dxa"/>
            <w:tcBorders>
              <w:top w:val="single" w:color="auto" w:sz="4" w:space="0"/>
              <w:left w:val="single" w:color="auto" w:sz="4" w:space="0"/>
              <w:bottom w:val="single" w:color="auto" w:sz="6" w:space="0"/>
            </w:tcBorders>
            <w:vAlign w:val="center"/>
          </w:tcPr>
          <w:p>
            <w:pPr>
              <w:jc w:val="center"/>
              <w:rPr>
                <w:rFonts w:ascii="Times New Roman" w:hAnsi="Times New Roman"/>
                <w:szCs w:val="21"/>
              </w:rPr>
            </w:pPr>
            <w:r>
              <w:rPr>
                <w:rFonts w:ascii="Times New Roman" w:hAnsi="Times New Roman"/>
                <w:szCs w:val="21"/>
              </w:rPr>
              <w:t>职业资格证书</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71" w:hRule="atLeast"/>
          <w:jc w:val="center"/>
        </w:trPr>
        <w:tc>
          <w:tcPr>
            <w:tcW w:w="835" w:type="dxa"/>
            <w:vMerge w:val="continue"/>
            <w:vAlign w:val="center"/>
          </w:tcPr>
          <w:p>
            <w:pPr>
              <w:rPr>
                <w:rFonts w:ascii="Times New Roman" w:hAnsi="Times New Roman"/>
                <w:szCs w:val="21"/>
              </w:rPr>
            </w:pPr>
          </w:p>
        </w:tc>
        <w:tc>
          <w:tcPr>
            <w:tcW w:w="683" w:type="dxa"/>
            <w:vMerge w:val="continue"/>
            <w:vAlign w:val="center"/>
          </w:tcPr>
          <w:p>
            <w:pPr>
              <w:jc w:val="center"/>
              <w:rPr>
                <w:rFonts w:ascii="Times New Roman" w:hAnsi="Times New Roman"/>
                <w:szCs w:val="21"/>
              </w:rPr>
            </w:pPr>
          </w:p>
        </w:tc>
        <w:tc>
          <w:tcPr>
            <w:tcW w:w="850" w:type="dxa"/>
            <w:vAlign w:val="center"/>
          </w:tcPr>
          <w:p>
            <w:pPr>
              <w:jc w:val="center"/>
              <w:rPr>
                <w:rFonts w:ascii="Times New Roman" w:hAnsi="Times New Roman"/>
                <w:szCs w:val="21"/>
              </w:rPr>
            </w:pPr>
            <w:r>
              <w:rPr>
                <w:rFonts w:ascii="Times New Roman" w:hAnsi="Times New Roman"/>
                <w:szCs w:val="21"/>
              </w:rPr>
              <w:t>层次</w:t>
            </w:r>
          </w:p>
        </w:tc>
        <w:tc>
          <w:tcPr>
            <w:tcW w:w="1559" w:type="dxa"/>
            <w:tcBorders>
              <w:top w:val="single" w:color="auto" w:sz="6" w:space="0"/>
              <w:bottom w:val="single" w:color="auto" w:sz="6" w:space="0"/>
              <w:right w:val="single" w:color="auto" w:sz="4" w:space="0"/>
            </w:tcBorders>
            <w:vAlign w:val="center"/>
          </w:tcPr>
          <w:p>
            <w:pPr>
              <w:jc w:val="center"/>
              <w:rPr>
                <w:rFonts w:ascii="Times New Roman" w:hAnsi="Times New Roman"/>
                <w:szCs w:val="21"/>
              </w:rPr>
            </w:pPr>
            <w:r>
              <w:rPr>
                <w:rFonts w:ascii="Times New Roman" w:hAnsi="Times New Roman"/>
                <w:szCs w:val="21"/>
              </w:rPr>
              <w:t>专科毕业证书</w:t>
            </w:r>
          </w:p>
        </w:tc>
        <w:tc>
          <w:tcPr>
            <w:tcW w:w="4374" w:type="dxa"/>
            <w:tcBorders>
              <w:top w:val="single" w:color="auto" w:sz="6" w:space="0"/>
              <w:left w:val="single" w:color="auto" w:sz="4" w:space="0"/>
              <w:bottom w:val="single" w:color="auto" w:sz="6" w:space="0"/>
            </w:tcBorders>
            <w:vAlign w:val="center"/>
          </w:tcPr>
          <w:p>
            <w:pPr>
              <w:jc w:val="center"/>
              <w:rPr>
                <w:rFonts w:ascii="Times New Roman" w:hAnsi="Times New Roman"/>
                <w:szCs w:val="21"/>
              </w:rPr>
            </w:pPr>
            <w:r>
              <w:rPr>
                <w:rFonts w:ascii="Times New Roman" w:hAnsi="Times New Roman"/>
                <w:szCs w:val="21"/>
              </w:rPr>
              <w:t>采煤工(高级)</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539" w:hRule="atLeast"/>
          <w:jc w:val="center"/>
        </w:trPr>
        <w:tc>
          <w:tcPr>
            <w:tcW w:w="835" w:type="dxa"/>
            <w:vMerge w:val="continue"/>
            <w:vAlign w:val="center"/>
          </w:tcPr>
          <w:p>
            <w:pPr>
              <w:rPr>
                <w:rFonts w:ascii="Times New Roman" w:hAnsi="Times New Roman"/>
                <w:szCs w:val="21"/>
              </w:rPr>
            </w:pPr>
          </w:p>
        </w:tc>
        <w:tc>
          <w:tcPr>
            <w:tcW w:w="683" w:type="dxa"/>
            <w:vMerge w:val="continue"/>
            <w:vAlign w:val="center"/>
          </w:tcPr>
          <w:p>
            <w:pPr>
              <w:jc w:val="center"/>
              <w:rPr>
                <w:rFonts w:ascii="Times New Roman" w:hAnsi="Times New Roman"/>
                <w:szCs w:val="21"/>
              </w:rPr>
            </w:pPr>
          </w:p>
        </w:tc>
        <w:tc>
          <w:tcPr>
            <w:tcW w:w="850" w:type="dxa"/>
            <w:vAlign w:val="center"/>
          </w:tcPr>
          <w:p>
            <w:pPr>
              <w:jc w:val="center"/>
              <w:rPr>
                <w:rFonts w:ascii="Times New Roman" w:hAnsi="Times New Roman"/>
                <w:szCs w:val="21"/>
              </w:rPr>
            </w:pPr>
            <w:r>
              <w:rPr>
                <w:rFonts w:ascii="Times New Roman" w:hAnsi="Times New Roman"/>
                <w:szCs w:val="21"/>
              </w:rPr>
              <w:t>获取</w:t>
            </w:r>
          </w:p>
          <w:p>
            <w:pPr>
              <w:jc w:val="center"/>
              <w:rPr>
                <w:rFonts w:ascii="Times New Roman" w:hAnsi="Times New Roman"/>
                <w:szCs w:val="21"/>
              </w:rPr>
            </w:pPr>
            <w:r>
              <w:rPr>
                <w:rFonts w:ascii="Times New Roman" w:hAnsi="Times New Roman"/>
                <w:szCs w:val="21"/>
              </w:rPr>
              <w:t>条件</w:t>
            </w:r>
          </w:p>
        </w:tc>
        <w:tc>
          <w:tcPr>
            <w:tcW w:w="1559" w:type="dxa"/>
            <w:tcBorders>
              <w:top w:val="single" w:color="auto" w:sz="6" w:space="0"/>
              <w:bottom w:val="single" w:color="auto" w:sz="6" w:space="0"/>
              <w:right w:val="single" w:color="auto" w:sz="4" w:space="0"/>
            </w:tcBorders>
            <w:vAlign w:val="center"/>
          </w:tcPr>
          <w:p>
            <w:pPr>
              <w:pStyle w:val="39"/>
              <w:rPr>
                <w:rFonts w:ascii="Times New Roman" w:hAnsi="Times New Roman"/>
                <w:sz w:val="18"/>
                <w:szCs w:val="18"/>
              </w:rPr>
            </w:pPr>
            <w:r>
              <w:rPr>
                <w:rFonts w:ascii="Times New Roman" w:hAnsi="Times New Roman"/>
              </w:rPr>
              <w:t>修满76学分的最低毕业学分，达到毕业条件。</w:t>
            </w:r>
          </w:p>
        </w:tc>
        <w:tc>
          <w:tcPr>
            <w:tcW w:w="4374" w:type="dxa"/>
            <w:tcBorders>
              <w:top w:val="single" w:color="auto" w:sz="6" w:space="0"/>
              <w:left w:val="single" w:color="auto" w:sz="4" w:space="0"/>
              <w:bottom w:val="single" w:color="auto" w:sz="6" w:space="0"/>
            </w:tcBorders>
            <w:vAlign w:val="center"/>
          </w:tcPr>
          <w:p>
            <w:pPr>
              <w:pStyle w:val="39"/>
              <w:rPr>
                <w:rFonts w:ascii="Times New Roman" w:hAnsi="Times New Roman"/>
                <w:sz w:val="18"/>
                <w:szCs w:val="18"/>
              </w:rPr>
            </w:pPr>
            <w:r>
              <w:rPr>
                <w:rFonts w:ascii="Times New Roman" w:hAnsi="Times New Roman"/>
              </w:rPr>
              <w:t>取得“煤矿开采技术”专业专科毕业证或《煤矿开采学》(专)、《井巷工程》（专）、《矿山压力及岩层控制》（专）、《矿图实训》（专）、《地质实习》（专）5门课程成绩70分及以上者，并从事本职工作满2年即可取得“采煤工（高级）”资格证书。</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465" w:hRule="atLeast"/>
          <w:jc w:val="center"/>
        </w:trPr>
        <w:tc>
          <w:tcPr>
            <w:tcW w:w="835" w:type="dxa"/>
            <w:vMerge w:val="restart"/>
            <w:vAlign w:val="center"/>
          </w:tcPr>
          <w:p>
            <w:pPr>
              <w:spacing w:line="280" w:lineRule="exact"/>
              <w:rPr>
                <w:rFonts w:ascii="Times New Roman" w:hAnsi="Times New Roman"/>
                <w:b/>
                <w:szCs w:val="21"/>
              </w:rPr>
            </w:pPr>
            <w:r>
              <w:rPr>
                <w:rFonts w:ascii="Times New Roman" w:hAnsi="Times New Roman"/>
                <w:b/>
                <w:szCs w:val="21"/>
              </w:rPr>
              <w:t>四、</w:t>
            </w:r>
          </w:p>
          <w:p>
            <w:pPr>
              <w:spacing w:line="280" w:lineRule="exact"/>
              <w:rPr>
                <w:rFonts w:ascii="Times New Roman" w:hAnsi="Times New Roman"/>
                <w:b/>
                <w:szCs w:val="21"/>
              </w:rPr>
            </w:pPr>
            <w:r>
              <w:rPr>
                <w:rFonts w:ascii="Times New Roman" w:hAnsi="Times New Roman"/>
                <w:b/>
                <w:szCs w:val="21"/>
              </w:rPr>
              <w:t>就业</w:t>
            </w:r>
          </w:p>
          <w:p>
            <w:pPr>
              <w:spacing w:line="280" w:lineRule="exact"/>
              <w:rPr>
                <w:rFonts w:ascii="Times New Roman" w:hAnsi="Times New Roman"/>
                <w:b/>
                <w:szCs w:val="21"/>
              </w:rPr>
            </w:pPr>
            <w:r>
              <w:rPr>
                <w:rFonts w:ascii="Times New Roman" w:hAnsi="Times New Roman"/>
                <w:b/>
                <w:szCs w:val="21"/>
              </w:rPr>
              <w:t>面向</w:t>
            </w:r>
          </w:p>
          <w:p>
            <w:pPr>
              <w:spacing w:line="280" w:lineRule="exact"/>
              <w:rPr>
                <w:rFonts w:ascii="Times New Roman" w:hAnsi="Times New Roman"/>
                <w:b/>
                <w:szCs w:val="21"/>
              </w:rPr>
            </w:pPr>
            <w:r>
              <w:rPr>
                <w:rFonts w:ascii="Times New Roman" w:hAnsi="Times New Roman"/>
                <w:b/>
                <w:szCs w:val="21"/>
              </w:rPr>
              <w:t>和职</w:t>
            </w:r>
          </w:p>
          <w:p>
            <w:pPr>
              <w:spacing w:line="280" w:lineRule="exact"/>
              <w:rPr>
                <w:rFonts w:ascii="Times New Roman" w:hAnsi="Times New Roman"/>
                <w:b/>
                <w:szCs w:val="21"/>
              </w:rPr>
            </w:pPr>
            <w:r>
              <w:rPr>
                <w:rFonts w:ascii="Times New Roman" w:hAnsi="Times New Roman"/>
                <w:b/>
                <w:szCs w:val="21"/>
              </w:rPr>
              <w:t>业生</w:t>
            </w:r>
          </w:p>
          <w:p>
            <w:pPr>
              <w:spacing w:line="280" w:lineRule="exact"/>
              <w:rPr>
                <w:rFonts w:ascii="Times New Roman" w:hAnsi="Times New Roman"/>
                <w:b/>
                <w:szCs w:val="21"/>
              </w:rPr>
            </w:pPr>
            <w:r>
              <w:rPr>
                <w:rFonts w:ascii="Times New Roman" w:hAnsi="Times New Roman"/>
                <w:b/>
                <w:szCs w:val="21"/>
              </w:rPr>
              <w:t>涯发</w:t>
            </w:r>
          </w:p>
          <w:p>
            <w:pPr>
              <w:rPr>
                <w:rFonts w:ascii="Times New Roman" w:hAnsi="Times New Roman"/>
                <w:szCs w:val="21"/>
              </w:rPr>
            </w:pPr>
            <w:r>
              <w:rPr>
                <w:rFonts w:ascii="Times New Roman" w:hAnsi="Times New Roman"/>
                <w:b/>
                <w:szCs w:val="21"/>
              </w:rPr>
              <w:t>展</w:t>
            </w:r>
          </w:p>
        </w:tc>
        <w:tc>
          <w:tcPr>
            <w:tcW w:w="1533" w:type="dxa"/>
            <w:gridSpan w:val="2"/>
            <w:vAlign w:val="center"/>
          </w:tcPr>
          <w:p>
            <w:pPr>
              <w:jc w:val="center"/>
              <w:rPr>
                <w:rFonts w:ascii="Times New Roman" w:hAnsi="Times New Roman"/>
                <w:szCs w:val="21"/>
              </w:rPr>
            </w:pPr>
            <w:r>
              <w:rPr>
                <w:rFonts w:ascii="Times New Roman" w:hAnsi="Times New Roman"/>
                <w:szCs w:val="21"/>
              </w:rPr>
              <w:t>4.1 就业面向</w:t>
            </w:r>
          </w:p>
        </w:tc>
        <w:tc>
          <w:tcPr>
            <w:tcW w:w="5933" w:type="dxa"/>
            <w:gridSpan w:val="2"/>
            <w:tcBorders>
              <w:top w:val="single" w:color="auto" w:sz="6" w:space="0"/>
              <w:bottom w:val="single" w:color="auto" w:sz="6" w:space="0"/>
            </w:tcBorders>
            <w:vAlign w:val="center"/>
          </w:tcPr>
          <w:p>
            <w:pPr>
              <w:ind w:firstLine="420" w:firstLineChars="200"/>
              <w:jc w:val="left"/>
              <w:rPr>
                <w:rFonts w:ascii="Times New Roman" w:hAnsi="Times New Roman"/>
                <w:szCs w:val="21"/>
              </w:rPr>
            </w:pPr>
            <w:r>
              <w:rPr>
                <w:rFonts w:ascii="Times New Roman" w:hAnsi="Times New Roman"/>
                <w:szCs w:val="21"/>
              </w:rPr>
              <w:t>毕业生主要面向煤炭企业，能在煤矿开采专业技术与管理岗位工作，能胜任采掘、通风、安全、计划、设计、科研、培训等部门技术员等职位。根据实操岗情况及职业资格认证鉴定，可获得相应等级岗位从业资格证书。</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504" w:hRule="atLeast"/>
          <w:jc w:val="center"/>
        </w:trPr>
        <w:tc>
          <w:tcPr>
            <w:tcW w:w="835" w:type="dxa"/>
            <w:vMerge w:val="continue"/>
            <w:vAlign w:val="center"/>
          </w:tcPr>
          <w:p>
            <w:pPr>
              <w:rPr>
                <w:rFonts w:ascii="Times New Roman" w:hAnsi="Times New Roman"/>
                <w:szCs w:val="21"/>
              </w:rPr>
            </w:pPr>
          </w:p>
        </w:tc>
        <w:tc>
          <w:tcPr>
            <w:tcW w:w="1533" w:type="dxa"/>
            <w:gridSpan w:val="2"/>
            <w:vAlign w:val="center"/>
          </w:tcPr>
          <w:p>
            <w:pPr>
              <w:jc w:val="center"/>
              <w:rPr>
                <w:rFonts w:ascii="Times New Roman" w:hAnsi="Times New Roman"/>
                <w:szCs w:val="21"/>
              </w:rPr>
            </w:pPr>
            <w:r>
              <w:rPr>
                <w:rFonts w:ascii="Times New Roman" w:hAnsi="Times New Roman"/>
                <w:szCs w:val="21"/>
              </w:rPr>
              <w:t>4.2 职业生涯发展</w:t>
            </w:r>
          </w:p>
        </w:tc>
        <w:tc>
          <w:tcPr>
            <w:tcW w:w="5933" w:type="dxa"/>
            <w:gridSpan w:val="2"/>
            <w:tcBorders>
              <w:top w:val="single" w:color="auto" w:sz="6" w:space="0"/>
              <w:bottom w:val="single" w:color="auto" w:sz="12" w:space="0"/>
            </w:tcBorders>
            <w:vAlign w:val="center"/>
          </w:tcPr>
          <w:p>
            <w:pPr>
              <w:ind w:firstLine="420" w:firstLineChars="200"/>
              <w:jc w:val="left"/>
              <w:rPr>
                <w:rFonts w:ascii="Times New Roman" w:hAnsi="Times New Roman"/>
              </w:rPr>
            </w:pPr>
            <w:r>
              <w:rPr>
                <w:rFonts w:ascii="Times New Roman" w:hAnsi="Times New Roman"/>
              </w:rPr>
              <w:t>本专业毕业生可通过继续教育和培训，进一步取得本科及以上层次学历证书或更高级别的职业资格等级证书，进而获得从事更高级别岗位（如采煤工程师</w:t>
            </w:r>
            <w:r>
              <w:rPr>
                <w:rFonts w:ascii="Times New Roman" w:hAnsi="Times New Roman"/>
                <w:szCs w:val="21"/>
              </w:rPr>
              <w:t>、矿总工程师等</w:t>
            </w:r>
            <w:r>
              <w:rPr>
                <w:rFonts w:ascii="Times New Roman" w:hAnsi="Times New Roman"/>
              </w:rPr>
              <w:t>）工作的机会。</w:t>
            </w:r>
          </w:p>
        </w:tc>
      </w:tr>
    </w:tbl>
    <w:p>
      <w:pPr>
        <w:wordWrap w:val="0"/>
        <w:ind w:left="420" w:leftChars="200"/>
        <w:jc w:val="right"/>
        <w:rPr>
          <w:rFonts w:ascii="Times New Roman" w:hAnsi="Times New Roman"/>
          <w:szCs w:val="21"/>
        </w:rPr>
      </w:pPr>
    </w:p>
    <w:p>
      <w:pPr>
        <w:ind w:left="420" w:leftChars="200"/>
        <w:jc w:val="right"/>
        <w:rPr>
          <w:rFonts w:ascii="Times New Roman" w:hAnsi="Times New Roman"/>
          <w:szCs w:val="21"/>
        </w:rPr>
      </w:pPr>
      <w:r>
        <w:rPr>
          <w:rFonts w:ascii="Times New Roman" w:hAnsi="Times New Roman"/>
          <w:szCs w:val="21"/>
        </w:rPr>
        <w:t>续表</w:t>
      </w:r>
    </w:p>
    <w:tbl>
      <w:tblPr>
        <w:tblStyle w:val="21"/>
        <w:tblW w:w="0" w:type="auto"/>
        <w:tblInd w:w="15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54"/>
        <w:gridCol w:w="479"/>
        <w:gridCol w:w="893"/>
        <w:gridCol w:w="3261"/>
        <w:gridCol w:w="281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72" w:hRule="atLeast"/>
        </w:trPr>
        <w:tc>
          <w:tcPr>
            <w:tcW w:w="854" w:type="dxa"/>
            <w:vMerge w:val="restart"/>
            <w:vAlign w:val="center"/>
          </w:tcPr>
          <w:p>
            <w:pPr>
              <w:spacing w:line="360" w:lineRule="auto"/>
              <w:rPr>
                <w:rFonts w:ascii="Times New Roman" w:hAnsi="Times New Roman"/>
                <w:szCs w:val="21"/>
              </w:rPr>
            </w:pPr>
            <w:r>
              <w:rPr>
                <w:rFonts w:ascii="Times New Roman" w:hAnsi="Times New Roman"/>
                <w:b/>
                <w:szCs w:val="21"/>
              </w:rPr>
              <w:t>五、知识、能力结构及其支撑课程</w:t>
            </w:r>
          </w:p>
        </w:tc>
        <w:tc>
          <w:tcPr>
            <w:tcW w:w="1372" w:type="dxa"/>
            <w:gridSpan w:val="2"/>
            <w:vAlign w:val="center"/>
          </w:tcPr>
          <w:p>
            <w:pPr>
              <w:spacing w:line="280" w:lineRule="exact"/>
              <w:jc w:val="center"/>
              <w:rPr>
                <w:rFonts w:ascii="Times New Roman" w:hAnsi="Times New Roman"/>
                <w:szCs w:val="21"/>
              </w:rPr>
            </w:pPr>
            <w:r>
              <w:rPr>
                <w:rFonts w:ascii="Times New Roman" w:hAnsi="Times New Roman"/>
                <w:szCs w:val="21"/>
              </w:rPr>
              <w:t>类型</w:t>
            </w:r>
          </w:p>
        </w:tc>
        <w:tc>
          <w:tcPr>
            <w:tcW w:w="3261" w:type="dxa"/>
            <w:vAlign w:val="center"/>
          </w:tcPr>
          <w:p>
            <w:pPr>
              <w:spacing w:line="280" w:lineRule="exact"/>
              <w:jc w:val="center"/>
              <w:rPr>
                <w:rFonts w:ascii="Times New Roman" w:hAnsi="Times New Roman"/>
                <w:szCs w:val="21"/>
              </w:rPr>
            </w:pPr>
            <w:r>
              <w:rPr>
                <w:rFonts w:ascii="Times New Roman" w:hAnsi="Times New Roman"/>
                <w:szCs w:val="21"/>
              </w:rPr>
              <w:t>内容描述</w:t>
            </w:r>
          </w:p>
        </w:tc>
        <w:tc>
          <w:tcPr>
            <w:tcW w:w="2814" w:type="dxa"/>
            <w:vAlign w:val="center"/>
          </w:tcPr>
          <w:p>
            <w:pPr>
              <w:spacing w:line="280" w:lineRule="exact"/>
              <w:jc w:val="center"/>
              <w:rPr>
                <w:rFonts w:ascii="Times New Roman" w:hAnsi="Times New Roman"/>
                <w:szCs w:val="21"/>
              </w:rPr>
            </w:pPr>
            <w:r>
              <w:rPr>
                <w:rFonts w:ascii="Times New Roman" w:hAnsi="Times New Roman"/>
                <w:szCs w:val="21"/>
              </w:rPr>
              <w:t>支撑课程或活动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54" w:type="dxa"/>
            <w:vMerge w:val="continue"/>
            <w:vAlign w:val="center"/>
          </w:tcPr>
          <w:p>
            <w:pPr>
              <w:spacing w:line="280" w:lineRule="exact"/>
              <w:rPr>
                <w:rFonts w:ascii="Times New Roman" w:hAnsi="Times New Roman"/>
                <w:szCs w:val="21"/>
              </w:rPr>
            </w:pPr>
          </w:p>
        </w:tc>
        <w:tc>
          <w:tcPr>
            <w:tcW w:w="1372" w:type="dxa"/>
            <w:gridSpan w:val="2"/>
            <w:vMerge w:val="restart"/>
            <w:vAlign w:val="center"/>
          </w:tcPr>
          <w:p>
            <w:pPr>
              <w:spacing w:line="280" w:lineRule="exact"/>
              <w:rPr>
                <w:rFonts w:ascii="Times New Roman" w:hAnsi="Times New Roman"/>
                <w:szCs w:val="21"/>
              </w:rPr>
            </w:pPr>
            <w:r>
              <w:rPr>
                <w:rFonts w:ascii="Times New Roman" w:hAnsi="Times New Roman"/>
                <w:szCs w:val="21"/>
              </w:rPr>
              <w:t xml:space="preserve">5.1 </w:t>
            </w:r>
          </w:p>
          <w:p>
            <w:pPr>
              <w:spacing w:line="280" w:lineRule="exact"/>
              <w:rPr>
                <w:rFonts w:ascii="Times New Roman" w:hAnsi="Times New Roman"/>
                <w:szCs w:val="21"/>
              </w:rPr>
            </w:pPr>
            <w:r>
              <w:rPr>
                <w:rFonts w:ascii="Times New Roman" w:hAnsi="Times New Roman"/>
                <w:szCs w:val="21"/>
              </w:rPr>
              <w:t>综合基础知识</w:t>
            </w:r>
          </w:p>
        </w:tc>
        <w:tc>
          <w:tcPr>
            <w:tcW w:w="3261" w:type="dxa"/>
            <w:vAlign w:val="center"/>
          </w:tcPr>
          <w:p>
            <w:pPr>
              <w:spacing w:line="280" w:lineRule="exact"/>
              <w:rPr>
                <w:rFonts w:ascii="Times New Roman" w:hAnsi="Times New Roman"/>
                <w:szCs w:val="21"/>
              </w:rPr>
            </w:pPr>
            <w:r>
              <w:rPr>
                <w:rFonts w:ascii="Times New Roman" w:hAnsi="Times New Roman"/>
                <w:szCs w:val="21"/>
              </w:rPr>
              <w:t>1．政治思想理论</w:t>
            </w:r>
          </w:p>
        </w:tc>
        <w:tc>
          <w:tcPr>
            <w:tcW w:w="2814" w:type="dxa"/>
            <w:vAlign w:val="center"/>
          </w:tcPr>
          <w:p>
            <w:pPr>
              <w:spacing w:line="280" w:lineRule="exact"/>
              <w:rPr>
                <w:rFonts w:ascii="Times New Roman" w:hAnsi="Times New Roman"/>
                <w:szCs w:val="21"/>
              </w:rPr>
            </w:pPr>
            <w:r>
              <w:rPr>
                <w:rFonts w:ascii="Times New Roman" w:hAnsi="Times New Roman"/>
                <w:szCs w:val="21"/>
              </w:rPr>
              <w:t>中国特色社会主义理论体系概论</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4" w:hRule="atLeast"/>
        </w:trPr>
        <w:tc>
          <w:tcPr>
            <w:tcW w:w="854" w:type="dxa"/>
            <w:vMerge w:val="continue"/>
            <w:vAlign w:val="center"/>
          </w:tcPr>
          <w:p>
            <w:pPr>
              <w:spacing w:line="280" w:lineRule="exact"/>
              <w:rPr>
                <w:rFonts w:ascii="Times New Roman" w:hAnsi="Times New Roman"/>
                <w:szCs w:val="21"/>
              </w:rPr>
            </w:pPr>
          </w:p>
        </w:tc>
        <w:tc>
          <w:tcPr>
            <w:tcW w:w="1372" w:type="dxa"/>
            <w:gridSpan w:val="2"/>
            <w:vMerge w:val="continue"/>
            <w:vAlign w:val="center"/>
          </w:tcPr>
          <w:p>
            <w:pPr>
              <w:spacing w:line="280" w:lineRule="exact"/>
              <w:rPr>
                <w:rFonts w:ascii="Times New Roman" w:hAnsi="Times New Roman"/>
                <w:szCs w:val="21"/>
              </w:rPr>
            </w:pPr>
          </w:p>
        </w:tc>
        <w:tc>
          <w:tcPr>
            <w:tcW w:w="3261" w:type="dxa"/>
            <w:vAlign w:val="center"/>
          </w:tcPr>
          <w:p>
            <w:pPr>
              <w:spacing w:line="280" w:lineRule="exact"/>
              <w:rPr>
                <w:rFonts w:ascii="Times New Roman" w:hAnsi="Times New Roman"/>
                <w:szCs w:val="21"/>
              </w:rPr>
            </w:pPr>
            <w:r>
              <w:rPr>
                <w:rFonts w:ascii="Times New Roman" w:hAnsi="Times New Roman"/>
                <w:szCs w:val="21"/>
              </w:rPr>
              <w:t>2．数学基础知识</w:t>
            </w:r>
          </w:p>
        </w:tc>
        <w:tc>
          <w:tcPr>
            <w:tcW w:w="2814" w:type="dxa"/>
            <w:vAlign w:val="center"/>
          </w:tcPr>
          <w:p>
            <w:pPr>
              <w:spacing w:line="280" w:lineRule="exact"/>
              <w:rPr>
                <w:rFonts w:ascii="Times New Roman" w:hAnsi="Times New Roman"/>
                <w:szCs w:val="21"/>
              </w:rPr>
            </w:pPr>
            <w:r>
              <w:rPr>
                <w:rFonts w:ascii="Times New Roman" w:hAnsi="Times New Roman"/>
                <w:szCs w:val="21"/>
              </w:rPr>
              <w:t>高等数学基础</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54" w:type="dxa"/>
            <w:vMerge w:val="continue"/>
            <w:vAlign w:val="center"/>
          </w:tcPr>
          <w:p>
            <w:pPr>
              <w:spacing w:line="280" w:lineRule="exact"/>
              <w:rPr>
                <w:rFonts w:ascii="Times New Roman" w:hAnsi="Times New Roman"/>
                <w:szCs w:val="21"/>
              </w:rPr>
            </w:pPr>
          </w:p>
        </w:tc>
        <w:tc>
          <w:tcPr>
            <w:tcW w:w="1372" w:type="dxa"/>
            <w:gridSpan w:val="2"/>
            <w:vMerge w:val="continue"/>
            <w:vAlign w:val="center"/>
          </w:tcPr>
          <w:p>
            <w:pPr>
              <w:spacing w:line="280" w:lineRule="exact"/>
              <w:rPr>
                <w:rFonts w:ascii="Times New Roman" w:hAnsi="Times New Roman"/>
                <w:szCs w:val="21"/>
              </w:rPr>
            </w:pPr>
          </w:p>
        </w:tc>
        <w:tc>
          <w:tcPr>
            <w:tcW w:w="3261" w:type="dxa"/>
            <w:vAlign w:val="center"/>
          </w:tcPr>
          <w:p>
            <w:pPr>
              <w:spacing w:line="280" w:lineRule="exact"/>
              <w:rPr>
                <w:rFonts w:ascii="Times New Roman" w:hAnsi="Times New Roman"/>
                <w:szCs w:val="21"/>
              </w:rPr>
            </w:pPr>
            <w:r>
              <w:rPr>
                <w:rFonts w:ascii="Times New Roman" w:hAnsi="Times New Roman"/>
                <w:szCs w:val="21"/>
              </w:rPr>
              <w:t>3. 机械工程基础知识</w:t>
            </w:r>
          </w:p>
        </w:tc>
        <w:tc>
          <w:tcPr>
            <w:tcW w:w="2814" w:type="dxa"/>
            <w:vAlign w:val="center"/>
          </w:tcPr>
          <w:p>
            <w:pPr>
              <w:spacing w:line="280" w:lineRule="exact"/>
              <w:rPr>
                <w:rFonts w:ascii="Times New Roman" w:hAnsi="Times New Roman"/>
                <w:szCs w:val="21"/>
              </w:rPr>
            </w:pPr>
            <w:r>
              <w:rPr>
                <w:rFonts w:ascii="Times New Roman" w:hAnsi="Times New Roman"/>
                <w:szCs w:val="21"/>
              </w:rPr>
              <w:t>机械制图、机械设计基础、电工电子技术</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854" w:type="dxa"/>
            <w:vMerge w:val="continue"/>
            <w:vAlign w:val="center"/>
          </w:tcPr>
          <w:p>
            <w:pPr>
              <w:spacing w:line="280" w:lineRule="exact"/>
              <w:rPr>
                <w:rFonts w:ascii="Times New Roman" w:hAnsi="Times New Roman"/>
                <w:szCs w:val="21"/>
              </w:rPr>
            </w:pPr>
          </w:p>
        </w:tc>
        <w:tc>
          <w:tcPr>
            <w:tcW w:w="1372" w:type="dxa"/>
            <w:gridSpan w:val="2"/>
            <w:vMerge w:val="continue"/>
            <w:vAlign w:val="center"/>
          </w:tcPr>
          <w:p>
            <w:pPr>
              <w:spacing w:line="280" w:lineRule="exact"/>
              <w:rPr>
                <w:rFonts w:ascii="Times New Roman" w:hAnsi="Times New Roman"/>
                <w:szCs w:val="21"/>
              </w:rPr>
            </w:pPr>
          </w:p>
        </w:tc>
        <w:tc>
          <w:tcPr>
            <w:tcW w:w="3261" w:type="dxa"/>
            <w:vAlign w:val="center"/>
          </w:tcPr>
          <w:p>
            <w:pPr>
              <w:spacing w:line="280" w:lineRule="exact"/>
              <w:rPr>
                <w:rFonts w:ascii="Times New Roman" w:hAnsi="Times New Roman"/>
                <w:szCs w:val="21"/>
              </w:rPr>
            </w:pPr>
            <w:r>
              <w:rPr>
                <w:rFonts w:ascii="Times New Roman" w:hAnsi="Times New Roman"/>
                <w:szCs w:val="21"/>
              </w:rPr>
              <w:t>4．计算机基础知识</w:t>
            </w:r>
          </w:p>
        </w:tc>
        <w:tc>
          <w:tcPr>
            <w:tcW w:w="2814" w:type="dxa"/>
            <w:vAlign w:val="center"/>
          </w:tcPr>
          <w:p>
            <w:pPr>
              <w:widowControl/>
              <w:jc w:val="left"/>
              <w:rPr>
                <w:rFonts w:ascii="Times New Roman" w:hAnsi="Times New Roman"/>
                <w:szCs w:val="21"/>
              </w:rPr>
            </w:pPr>
            <w:r>
              <w:rPr>
                <w:rFonts w:ascii="Times New Roman" w:hAnsi="Times New Roman"/>
                <w:szCs w:val="21"/>
              </w:rPr>
              <w:t>计算机应用基础、矿图识读与CAD应用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25" w:hRule="atLeast"/>
        </w:trPr>
        <w:tc>
          <w:tcPr>
            <w:tcW w:w="854" w:type="dxa"/>
            <w:vMerge w:val="continue"/>
            <w:vAlign w:val="center"/>
          </w:tcPr>
          <w:p>
            <w:pPr>
              <w:spacing w:line="280" w:lineRule="exact"/>
              <w:rPr>
                <w:rFonts w:ascii="Times New Roman" w:hAnsi="Times New Roman"/>
                <w:szCs w:val="21"/>
              </w:rPr>
            </w:pPr>
          </w:p>
        </w:tc>
        <w:tc>
          <w:tcPr>
            <w:tcW w:w="1372" w:type="dxa"/>
            <w:gridSpan w:val="2"/>
            <w:vMerge w:val="continue"/>
            <w:vAlign w:val="center"/>
          </w:tcPr>
          <w:p>
            <w:pPr>
              <w:spacing w:line="280" w:lineRule="exact"/>
              <w:rPr>
                <w:rFonts w:ascii="Times New Roman" w:hAnsi="Times New Roman"/>
                <w:szCs w:val="21"/>
              </w:rPr>
            </w:pPr>
          </w:p>
        </w:tc>
        <w:tc>
          <w:tcPr>
            <w:tcW w:w="3261" w:type="dxa"/>
            <w:vAlign w:val="center"/>
          </w:tcPr>
          <w:p>
            <w:pPr>
              <w:spacing w:line="280" w:lineRule="exact"/>
              <w:rPr>
                <w:rFonts w:ascii="Times New Roman" w:hAnsi="Times New Roman"/>
                <w:szCs w:val="21"/>
              </w:rPr>
            </w:pPr>
            <w:r>
              <w:rPr>
                <w:rFonts w:ascii="Times New Roman" w:hAnsi="Times New Roman"/>
                <w:szCs w:val="21"/>
              </w:rPr>
              <w:t>5. 外语基础知识</w:t>
            </w:r>
          </w:p>
        </w:tc>
        <w:tc>
          <w:tcPr>
            <w:tcW w:w="2814" w:type="dxa"/>
            <w:vAlign w:val="center"/>
          </w:tcPr>
          <w:p>
            <w:pPr>
              <w:rPr>
                <w:rFonts w:ascii="Times New Roman" w:hAnsi="Times New Roman"/>
                <w:szCs w:val="21"/>
              </w:rPr>
            </w:pPr>
            <w:r>
              <w:rPr>
                <w:rFonts w:ascii="Times New Roman" w:hAnsi="Times New Roman"/>
                <w:szCs w:val="21"/>
              </w:rPr>
              <w:t>英语I（1）</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076" w:hRule="atLeast"/>
        </w:trPr>
        <w:tc>
          <w:tcPr>
            <w:tcW w:w="854" w:type="dxa"/>
            <w:vMerge w:val="continue"/>
            <w:vAlign w:val="center"/>
          </w:tcPr>
          <w:p>
            <w:pPr>
              <w:spacing w:line="280" w:lineRule="exact"/>
              <w:rPr>
                <w:rFonts w:ascii="Times New Roman" w:hAnsi="Times New Roman"/>
                <w:szCs w:val="21"/>
              </w:rPr>
            </w:pPr>
          </w:p>
        </w:tc>
        <w:tc>
          <w:tcPr>
            <w:tcW w:w="479" w:type="dxa"/>
            <w:vMerge w:val="restart"/>
            <w:vAlign w:val="center"/>
          </w:tcPr>
          <w:p>
            <w:pPr>
              <w:spacing w:line="280" w:lineRule="exact"/>
              <w:rPr>
                <w:rFonts w:ascii="Times New Roman" w:hAnsi="Times New Roman"/>
                <w:szCs w:val="21"/>
              </w:rPr>
            </w:pPr>
            <w:r>
              <w:rPr>
                <w:rFonts w:ascii="Times New Roman" w:hAnsi="Times New Roman"/>
                <w:szCs w:val="21"/>
              </w:rPr>
              <w:t>5.2  职业基础素质</w:t>
            </w:r>
          </w:p>
        </w:tc>
        <w:tc>
          <w:tcPr>
            <w:tcW w:w="893" w:type="dxa"/>
            <w:vAlign w:val="center"/>
          </w:tcPr>
          <w:p>
            <w:pPr>
              <w:spacing w:line="280" w:lineRule="exact"/>
              <w:ind w:left="210" w:hanging="210" w:hangingChars="100"/>
              <w:rPr>
                <w:rFonts w:ascii="Times New Roman" w:hAnsi="Times New Roman"/>
                <w:szCs w:val="21"/>
              </w:rPr>
            </w:pPr>
            <w:r>
              <w:rPr>
                <w:rFonts w:ascii="Times New Roman" w:hAnsi="Times New Roman"/>
                <w:szCs w:val="21"/>
              </w:rPr>
              <w:t>1．职业道德</w:t>
            </w:r>
          </w:p>
        </w:tc>
        <w:tc>
          <w:tcPr>
            <w:tcW w:w="3261" w:type="dxa"/>
            <w:vAlign w:val="center"/>
          </w:tcPr>
          <w:p>
            <w:pPr>
              <w:spacing w:line="280" w:lineRule="exact"/>
              <w:ind w:firstLine="420" w:firstLineChars="200"/>
              <w:rPr>
                <w:rFonts w:ascii="Times New Roman" w:hAnsi="Times New Roman"/>
              </w:rPr>
            </w:pPr>
            <w:r>
              <w:rPr>
                <w:rFonts w:ascii="Times New Roman" w:hAnsi="Times New Roman"/>
              </w:rPr>
              <w:t>热爱煤炭行业，具有良好的思想品德和较高的政治素质，具有严谨的科学作风和良好的职业道德。</w:t>
            </w:r>
          </w:p>
        </w:tc>
        <w:tc>
          <w:tcPr>
            <w:tcW w:w="2814" w:type="dxa"/>
            <w:vMerge w:val="restart"/>
            <w:vAlign w:val="center"/>
          </w:tcPr>
          <w:p>
            <w:pPr>
              <w:spacing w:line="280" w:lineRule="exact"/>
              <w:rPr>
                <w:rFonts w:ascii="Times New Roman" w:hAnsi="Times New Roman"/>
              </w:rPr>
            </w:pPr>
            <w:r>
              <w:rPr>
                <w:rFonts w:ascii="Times New Roman" w:hAnsi="Times New Roman"/>
                <w:szCs w:val="21"/>
              </w:rPr>
              <w:t>矿山环境保护、”三法”基础与实务、《煤矿安全规程》解读、心理健康教育概论。</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544" w:hRule="atLeast"/>
        </w:trPr>
        <w:tc>
          <w:tcPr>
            <w:tcW w:w="854" w:type="dxa"/>
            <w:vMerge w:val="continue"/>
            <w:vAlign w:val="center"/>
          </w:tcPr>
          <w:p>
            <w:pPr>
              <w:spacing w:line="280" w:lineRule="exact"/>
              <w:rPr>
                <w:rFonts w:ascii="Times New Roman" w:hAnsi="Times New Roman"/>
                <w:szCs w:val="21"/>
              </w:rPr>
            </w:pPr>
          </w:p>
        </w:tc>
        <w:tc>
          <w:tcPr>
            <w:tcW w:w="479" w:type="dxa"/>
            <w:vMerge w:val="continue"/>
            <w:vAlign w:val="center"/>
          </w:tcPr>
          <w:p>
            <w:pPr>
              <w:spacing w:line="280" w:lineRule="exact"/>
              <w:rPr>
                <w:rFonts w:ascii="Times New Roman" w:hAnsi="Times New Roman"/>
                <w:szCs w:val="21"/>
              </w:rPr>
            </w:pPr>
          </w:p>
        </w:tc>
        <w:tc>
          <w:tcPr>
            <w:tcW w:w="893" w:type="dxa"/>
            <w:vAlign w:val="center"/>
          </w:tcPr>
          <w:p>
            <w:pPr>
              <w:spacing w:line="280" w:lineRule="exact"/>
              <w:ind w:left="210" w:hanging="210" w:hangingChars="100"/>
              <w:rPr>
                <w:rFonts w:ascii="Times New Roman" w:hAnsi="Times New Roman"/>
                <w:szCs w:val="21"/>
              </w:rPr>
            </w:pPr>
            <w:r>
              <w:rPr>
                <w:rFonts w:ascii="Times New Roman" w:hAnsi="Times New Roman"/>
                <w:szCs w:val="21"/>
              </w:rPr>
              <w:t>2．职业态度</w:t>
            </w:r>
          </w:p>
        </w:tc>
        <w:tc>
          <w:tcPr>
            <w:tcW w:w="3261" w:type="dxa"/>
            <w:vAlign w:val="center"/>
          </w:tcPr>
          <w:p>
            <w:pPr>
              <w:spacing w:line="280" w:lineRule="exact"/>
              <w:ind w:firstLine="420" w:firstLineChars="200"/>
              <w:rPr>
                <w:rFonts w:ascii="Times New Roman" w:hAnsi="Times New Roman"/>
              </w:rPr>
            </w:pPr>
            <w:r>
              <w:rPr>
                <w:rFonts w:ascii="Times New Roman" w:hAnsi="Times New Roman"/>
              </w:rPr>
              <w:t>具有强烈的事业心、高度的责任心与职业道德修养，爱岗敬业、诚实守信、遵纪守法，具有开拓进取精神。</w:t>
            </w:r>
          </w:p>
        </w:tc>
        <w:tc>
          <w:tcPr>
            <w:tcW w:w="2814" w:type="dxa"/>
            <w:vMerge w:val="continue"/>
            <w:vAlign w:val="center"/>
          </w:tcPr>
          <w:p>
            <w:pPr>
              <w:spacing w:line="280" w:lineRule="exact"/>
              <w:rPr>
                <w:rFonts w:ascii="Times New Roman" w:hAnsi="Times New Roma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841" w:hRule="atLeast"/>
        </w:trPr>
        <w:tc>
          <w:tcPr>
            <w:tcW w:w="854" w:type="dxa"/>
            <w:vMerge w:val="continue"/>
            <w:vAlign w:val="center"/>
          </w:tcPr>
          <w:p>
            <w:pPr>
              <w:spacing w:line="280" w:lineRule="exact"/>
              <w:rPr>
                <w:rFonts w:ascii="Times New Roman" w:hAnsi="Times New Roman"/>
                <w:szCs w:val="21"/>
              </w:rPr>
            </w:pPr>
          </w:p>
        </w:tc>
        <w:tc>
          <w:tcPr>
            <w:tcW w:w="479" w:type="dxa"/>
            <w:vMerge w:val="continue"/>
            <w:vAlign w:val="center"/>
          </w:tcPr>
          <w:p>
            <w:pPr>
              <w:spacing w:line="280" w:lineRule="exact"/>
              <w:rPr>
                <w:rFonts w:ascii="Times New Roman" w:hAnsi="Times New Roman"/>
                <w:szCs w:val="21"/>
              </w:rPr>
            </w:pPr>
          </w:p>
        </w:tc>
        <w:tc>
          <w:tcPr>
            <w:tcW w:w="893" w:type="dxa"/>
            <w:vAlign w:val="center"/>
          </w:tcPr>
          <w:p>
            <w:pPr>
              <w:spacing w:line="280" w:lineRule="exact"/>
              <w:ind w:left="210" w:hanging="210" w:hangingChars="100"/>
              <w:rPr>
                <w:rFonts w:ascii="Times New Roman" w:hAnsi="Times New Roman"/>
                <w:szCs w:val="21"/>
              </w:rPr>
            </w:pPr>
            <w:r>
              <w:rPr>
                <w:rFonts w:ascii="Times New Roman" w:hAnsi="Times New Roman"/>
                <w:szCs w:val="21"/>
              </w:rPr>
              <w:t>3．职业生理</w:t>
            </w:r>
          </w:p>
        </w:tc>
        <w:tc>
          <w:tcPr>
            <w:tcW w:w="3261" w:type="dxa"/>
            <w:vAlign w:val="center"/>
          </w:tcPr>
          <w:p>
            <w:pPr>
              <w:spacing w:line="280" w:lineRule="exact"/>
              <w:ind w:firstLine="420" w:firstLineChars="200"/>
              <w:rPr>
                <w:rFonts w:ascii="Times New Roman" w:hAnsi="Times New Roman"/>
              </w:rPr>
            </w:pPr>
            <w:r>
              <w:rPr>
                <w:rFonts w:ascii="Times New Roman" w:hAnsi="Times New Roman"/>
              </w:rPr>
              <w:t>能在远程教育的条件下完成学业，能适应相应岗位正常工作。</w:t>
            </w:r>
          </w:p>
        </w:tc>
        <w:tc>
          <w:tcPr>
            <w:tcW w:w="2814" w:type="dxa"/>
            <w:vAlign w:val="center"/>
          </w:tcPr>
          <w:p>
            <w:pPr>
              <w:spacing w:line="280" w:lineRule="exact"/>
              <w:rPr>
                <w:rFonts w:ascii="Times New Roman" w:hAnsi="Times New Roman"/>
              </w:rPr>
            </w:pPr>
            <w:r>
              <w:rPr>
                <w:rFonts w:ascii="Times New Roman" w:hAnsi="Times New Roman"/>
              </w:rPr>
              <w:t>国家开放大学学习指南、计算机应用基础</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003" w:hRule="atLeast"/>
        </w:trPr>
        <w:tc>
          <w:tcPr>
            <w:tcW w:w="854" w:type="dxa"/>
            <w:vMerge w:val="continue"/>
            <w:vAlign w:val="center"/>
          </w:tcPr>
          <w:p>
            <w:pPr>
              <w:spacing w:line="280" w:lineRule="exact"/>
              <w:rPr>
                <w:rFonts w:ascii="Times New Roman" w:hAnsi="Times New Roman"/>
                <w:szCs w:val="21"/>
              </w:rPr>
            </w:pPr>
          </w:p>
        </w:tc>
        <w:tc>
          <w:tcPr>
            <w:tcW w:w="479" w:type="dxa"/>
            <w:vMerge w:val="restart"/>
            <w:vAlign w:val="center"/>
          </w:tcPr>
          <w:p>
            <w:pPr>
              <w:spacing w:line="280" w:lineRule="exact"/>
              <w:rPr>
                <w:rFonts w:ascii="Times New Roman" w:hAnsi="Times New Roman"/>
                <w:szCs w:val="21"/>
              </w:rPr>
            </w:pPr>
            <w:r>
              <w:rPr>
                <w:rFonts w:ascii="Times New Roman" w:hAnsi="Times New Roman"/>
                <w:szCs w:val="21"/>
              </w:rPr>
              <w:t>5.3  专业</w:t>
            </w:r>
          </w:p>
          <w:p>
            <w:pPr>
              <w:spacing w:line="280" w:lineRule="exact"/>
              <w:rPr>
                <w:rFonts w:ascii="Times New Roman" w:hAnsi="Times New Roman"/>
                <w:szCs w:val="21"/>
              </w:rPr>
            </w:pPr>
            <w:r>
              <w:rPr>
                <w:rFonts w:ascii="Times New Roman" w:hAnsi="Times New Roman"/>
                <w:szCs w:val="21"/>
              </w:rPr>
              <w:t>或</w:t>
            </w:r>
          </w:p>
          <w:p>
            <w:pPr>
              <w:spacing w:line="280" w:lineRule="exact"/>
              <w:rPr>
                <w:rFonts w:ascii="Times New Roman" w:hAnsi="Times New Roman"/>
                <w:szCs w:val="21"/>
              </w:rPr>
            </w:pPr>
            <w:r>
              <w:rPr>
                <w:rFonts w:ascii="Times New Roman" w:hAnsi="Times New Roman"/>
                <w:szCs w:val="21"/>
              </w:rPr>
              <w:t>职业能力</w:t>
            </w:r>
          </w:p>
        </w:tc>
        <w:tc>
          <w:tcPr>
            <w:tcW w:w="893" w:type="dxa"/>
            <w:vMerge w:val="restart"/>
            <w:vAlign w:val="center"/>
          </w:tcPr>
          <w:p>
            <w:pPr>
              <w:spacing w:line="280" w:lineRule="exact"/>
              <w:ind w:left="210" w:hanging="210" w:hangingChars="100"/>
              <w:rPr>
                <w:rFonts w:ascii="Times New Roman" w:hAnsi="Times New Roman"/>
                <w:szCs w:val="21"/>
              </w:rPr>
            </w:pPr>
            <w:r>
              <w:rPr>
                <w:rFonts w:ascii="Times New Roman" w:hAnsi="Times New Roman"/>
                <w:szCs w:val="21"/>
              </w:rPr>
              <w:t>1．职业技能</w:t>
            </w:r>
          </w:p>
        </w:tc>
        <w:tc>
          <w:tcPr>
            <w:tcW w:w="3261" w:type="dxa"/>
            <w:vAlign w:val="center"/>
          </w:tcPr>
          <w:p>
            <w:pPr>
              <w:jc w:val="left"/>
              <w:rPr>
                <w:rFonts w:ascii="Times New Roman" w:hAnsi="Times New Roman"/>
              </w:rPr>
            </w:pPr>
            <w:r>
              <w:rPr>
                <w:rFonts w:ascii="Times New Roman" w:hAnsi="Times New Roman"/>
              </w:rPr>
              <w:t>（1）具备本专业培养目标所必需的计算机应用与机械工程基础知识与技能。</w:t>
            </w:r>
          </w:p>
        </w:tc>
        <w:tc>
          <w:tcPr>
            <w:tcW w:w="2814" w:type="dxa"/>
            <w:vAlign w:val="center"/>
          </w:tcPr>
          <w:p>
            <w:pPr>
              <w:spacing w:line="280" w:lineRule="exact"/>
              <w:rPr>
                <w:rFonts w:ascii="Times New Roman" w:hAnsi="Times New Roman"/>
              </w:rPr>
            </w:pPr>
            <w:r>
              <w:rPr>
                <w:rFonts w:ascii="Times New Roman" w:hAnsi="Times New Roman"/>
              </w:rPr>
              <w:t>计算机应用基础、机械制图、机械设计基础、电工电子技术等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975" w:hRule="atLeast"/>
        </w:trPr>
        <w:tc>
          <w:tcPr>
            <w:tcW w:w="854" w:type="dxa"/>
            <w:vMerge w:val="continue"/>
            <w:vAlign w:val="center"/>
          </w:tcPr>
          <w:p>
            <w:pPr>
              <w:spacing w:line="280" w:lineRule="exact"/>
              <w:rPr>
                <w:rFonts w:ascii="Times New Roman" w:hAnsi="Times New Roman"/>
                <w:szCs w:val="21"/>
              </w:rPr>
            </w:pPr>
          </w:p>
        </w:tc>
        <w:tc>
          <w:tcPr>
            <w:tcW w:w="479" w:type="dxa"/>
            <w:vMerge w:val="continue"/>
            <w:vAlign w:val="center"/>
          </w:tcPr>
          <w:p>
            <w:pPr>
              <w:spacing w:line="280" w:lineRule="exact"/>
              <w:rPr>
                <w:rFonts w:ascii="Times New Roman" w:hAnsi="Times New Roman"/>
                <w:szCs w:val="21"/>
              </w:rPr>
            </w:pPr>
          </w:p>
        </w:tc>
        <w:tc>
          <w:tcPr>
            <w:tcW w:w="893" w:type="dxa"/>
            <w:vMerge w:val="continue"/>
            <w:vAlign w:val="center"/>
          </w:tcPr>
          <w:p>
            <w:pPr>
              <w:spacing w:line="280" w:lineRule="exact"/>
              <w:rPr>
                <w:rFonts w:ascii="Times New Roman" w:hAnsi="Times New Roman"/>
                <w:szCs w:val="21"/>
              </w:rPr>
            </w:pPr>
          </w:p>
        </w:tc>
        <w:tc>
          <w:tcPr>
            <w:tcW w:w="3261" w:type="dxa"/>
            <w:vAlign w:val="center"/>
          </w:tcPr>
          <w:p>
            <w:pPr>
              <w:jc w:val="left"/>
              <w:rPr>
                <w:rFonts w:ascii="Times New Roman" w:hAnsi="Times New Roman"/>
              </w:rPr>
            </w:pPr>
            <w:r>
              <w:rPr>
                <w:rFonts w:ascii="Times New Roman" w:hAnsi="Times New Roman"/>
              </w:rPr>
              <w:t>（2）具备与职业能力相适应的采矿专业基础知识、井巷工程知识与技能。</w:t>
            </w:r>
          </w:p>
        </w:tc>
        <w:tc>
          <w:tcPr>
            <w:tcW w:w="2814" w:type="dxa"/>
            <w:vAlign w:val="center"/>
          </w:tcPr>
          <w:p>
            <w:pPr>
              <w:spacing w:line="280" w:lineRule="exact"/>
              <w:rPr>
                <w:rFonts w:ascii="Times New Roman" w:hAnsi="Times New Roman"/>
              </w:rPr>
            </w:pPr>
            <w:r>
              <w:rPr>
                <w:rFonts w:ascii="Segoe UI Symbol" w:hAnsi="Segoe UI Symbol" w:cs="Segoe UI Symbol"/>
              </w:rPr>
              <w:t>★</w:t>
            </w:r>
            <w:r>
              <w:rPr>
                <w:rFonts w:ascii="Times New Roman" w:hAnsi="Times New Roman"/>
              </w:rPr>
              <w:t>煤矿开采（专）、</w:t>
            </w:r>
            <w:r>
              <w:rPr>
                <w:rFonts w:ascii="Segoe UI Symbol" w:hAnsi="Segoe UI Symbol" w:cs="Segoe UI Symbol"/>
              </w:rPr>
              <w:t>★</w:t>
            </w:r>
            <w:r>
              <w:rPr>
                <w:rFonts w:ascii="Times New Roman" w:hAnsi="Times New Roman"/>
              </w:rPr>
              <w:t>井巷工程（专）等。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226" w:hRule="atLeast"/>
        </w:trPr>
        <w:tc>
          <w:tcPr>
            <w:tcW w:w="854" w:type="dxa"/>
            <w:vMerge w:val="continue"/>
            <w:vAlign w:val="center"/>
          </w:tcPr>
          <w:p>
            <w:pPr>
              <w:spacing w:line="360" w:lineRule="auto"/>
              <w:rPr>
                <w:rFonts w:ascii="Times New Roman" w:hAnsi="Times New Roman"/>
                <w:szCs w:val="21"/>
              </w:rPr>
            </w:pPr>
          </w:p>
        </w:tc>
        <w:tc>
          <w:tcPr>
            <w:tcW w:w="479" w:type="dxa"/>
            <w:vMerge w:val="continue"/>
            <w:vAlign w:val="center"/>
          </w:tcPr>
          <w:p>
            <w:pPr>
              <w:spacing w:line="360" w:lineRule="auto"/>
              <w:rPr>
                <w:rFonts w:ascii="Times New Roman" w:hAnsi="Times New Roman"/>
                <w:szCs w:val="21"/>
              </w:rPr>
            </w:pPr>
          </w:p>
        </w:tc>
        <w:tc>
          <w:tcPr>
            <w:tcW w:w="893" w:type="dxa"/>
            <w:vMerge w:val="restart"/>
            <w:vAlign w:val="center"/>
          </w:tcPr>
          <w:p>
            <w:pPr>
              <w:ind w:left="210" w:hanging="210" w:hangingChars="100"/>
              <w:rPr>
                <w:rFonts w:ascii="Times New Roman" w:hAnsi="Times New Roman"/>
                <w:szCs w:val="21"/>
              </w:rPr>
            </w:pPr>
            <w:r>
              <w:rPr>
                <w:rFonts w:ascii="Times New Roman" w:hAnsi="Times New Roman"/>
                <w:szCs w:val="21"/>
              </w:rPr>
              <w:t>2．专业知识</w:t>
            </w:r>
          </w:p>
        </w:tc>
        <w:tc>
          <w:tcPr>
            <w:tcW w:w="3261" w:type="dxa"/>
            <w:vAlign w:val="center"/>
          </w:tcPr>
          <w:p>
            <w:pPr>
              <w:spacing w:line="280" w:lineRule="exact"/>
              <w:rPr>
                <w:rFonts w:ascii="Times New Roman" w:hAnsi="Times New Roman"/>
              </w:rPr>
            </w:pPr>
            <w:r>
              <w:rPr>
                <w:rFonts w:ascii="Times New Roman" w:hAnsi="Times New Roman"/>
              </w:rPr>
              <w:t>（1）煤矿开采技术及技能</w:t>
            </w:r>
          </w:p>
        </w:tc>
        <w:tc>
          <w:tcPr>
            <w:tcW w:w="2814" w:type="dxa"/>
            <w:vAlign w:val="center"/>
          </w:tcPr>
          <w:p>
            <w:pPr>
              <w:spacing w:line="280" w:lineRule="exact"/>
              <w:rPr>
                <w:rFonts w:ascii="Times New Roman" w:hAnsi="Times New Roman"/>
              </w:rPr>
            </w:pPr>
            <w:r>
              <w:rPr>
                <w:rFonts w:ascii="Times New Roman" w:hAnsi="Times New Roman"/>
              </w:rPr>
              <w:t>煤矿地质、</w:t>
            </w:r>
            <w:r>
              <w:rPr>
                <w:rFonts w:ascii="Segoe UI Symbol" w:hAnsi="Segoe UI Symbol" w:cs="Segoe UI Symbol"/>
              </w:rPr>
              <w:t>★</w:t>
            </w:r>
            <w:r>
              <w:rPr>
                <w:rFonts w:ascii="Times New Roman" w:hAnsi="Times New Roman"/>
              </w:rPr>
              <w:t>煤矿开采（专）、</w:t>
            </w:r>
            <w:r>
              <w:rPr>
                <w:rFonts w:ascii="Segoe UI Symbol" w:hAnsi="Segoe UI Symbol" w:cs="Segoe UI Symbol"/>
              </w:rPr>
              <w:t>★</w:t>
            </w:r>
            <w:r>
              <w:rPr>
                <w:rFonts w:ascii="Times New Roman" w:hAnsi="Times New Roman"/>
              </w:rPr>
              <w:t>矿山压力及岩层控制（专）等。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067" w:hRule="atLeast"/>
        </w:trPr>
        <w:tc>
          <w:tcPr>
            <w:tcW w:w="854" w:type="dxa"/>
            <w:vMerge w:val="continue"/>
            <w:vAlign w:val="center"/>
          </w:tcPr>
          <w:p>
            <w:pPr>
              <w:spacing w:line="360" w:lineRule="auto"/>
              <w:rPr>
                <w:rFonts w:ascii="Times New Roman" w:hAnsi="Times New Roman"/>
                <w:szCs w:val="21"/>
              </w:rPr>
            </w:pPr>
          </w:p>
        </w:tc>
        <w:tc>
          <w:tcPr>
            <w:tcW w:w="479" w:type="dxa"/>
            <w:vMerge w:val="continue"/>
            <w:vAlign w:val="center"/>
          </w:tcPr>
          <w:p>
            <w:pPr>
              <w:spacing w:line="360" w:lineRule="auto"/>
              <w:rPr>
                <w:rFonts w:ascii="Times New Roman" w:hAnsi="Times New Roman"/>
                <w:szCs w:val="21"/>
              </w:rPr>
            </w:pPr>
          </w:p>
        </w:tc>
        <w:tc>
          <w:tcPr>
            <w:tcW w:w="893" w:type="dxa"/>
            <w:vMerge w:val="continue"/>
            <w:vAlign w:val="center"/>
          </w:tcPr>
          <w:p>
            <w:pPr>
              <w:spacing w:line="360" w:lineRule="auto"/>
              <w:rPr>
                <w:rFonts w:ascii="Times New Roman" w:hAnsi="Times New Roman"/>
                <w:szCs w:val="21"/>
              </w:rPr>
            </w:pPr>
          </w:p>
        </w:tc>
        <w:tc>
          <w:tcPr>
            <w:tcW w:w="3261" w:type="dxa"/>
            <w:tcBorders>
              <w:bottom w:val="single" w:color="auto" w:sz="4" w:space="0"/>
            </w:tcBorders>
            <w:vAlign w:val="center"/>
          </w:tcPr>
          <w:p>
            <w:pPr>
              <w:spacing w:line="280" w:lineRule="exact"/>
              <w:rPr>
                <w:rFonts w:ascii="Times New Roman" w:hAnsi="Times New Roman"/>
              </w:rPr>
            </w:pPr>
            <w:r>
              <w:rPr>
                <w:rFonts w:ascii="Times New Roman" w:hAnsi="Times New Roman"/>
              </w:rPr>
              <w:t>（2）井巷工程知识及技能</w:t>
            </w:r>
          </w:p>
        </w:tc>
        <w:tc>
          <w:tcPr>
            <w:tcW w:w="2814" w:type="dxa"/>
            <w:tcBorders>
              <w:bottom w:val="single" w:color="auto" w:sz="4" w:space="0"/>
            </w:tcBorders>
            <w:vAlign w:val="center"/>
          </w:tcPr>
          <w:p>
            <w:pPr>
              <w:spacing w:line="280" w:lineRule="exact"/>
              <w:rPr>
                <w:rFonts w:ascii="Times New Roman" w:hAnsi="Times New Roman"/>
              </w:rPr>
            </w:pPr>
            <w:r>
              <w:rPr>
                <w:rFonts w:ascii="Times New Roman" w:hAnsi="Times New Roman"/>
              </w:rPr>
              <w:t>矿井测量、</w:t>
            </w:r>
            <w:r>
              <w:rPr>
                <w:rFonts w:ascii="Segoe UI Symbol" w:hAnsi="Segoe UI Symbol" w:cs="Segoe UI Symbol"/>
              </w:rPr>
              <w:t>★</w:t>
            </w:r>
            <w:r>
              <w:rPr>
                <w:rFonts w:ascii="Times New Roman" w:hAnsi="Times New Roman"/>
              </w:rPr>
              <w:t>井巷工程（专）等、矿图识读与CAD应用、</w:t>
            </w:r>
            <w:r>
              <w:rPr>
                <w:rFonts w:ascii="Segoe UI Symbol" w:hAnsi="Segoe UI Symbol" w:cs="Segoe UI Symbol"/>
              </w:rPr>
              <w:t>★</w:t>
            </w:r>
            <w:r>
              <w:rPr>
                <w:rFonts w:ascii="Times New Roman" w:hAnsi="Times New Roman"/>
              </w:rPr>
              <w:t>矿山压力及岩层控制（专）等。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119" w:hRule="atLeast"/>
        </w:trPr>
        <w:tc>
          <w:tcPr>
            <w:tcW w:w="854" w:type="dxa"/>
            <w:vMerge w:val="continue"/>
            <w:vAlign w:val="center"/>
          </w:tcPr>
          <w:p>
            <w:pPr>
              <w:spacing w:line="360" w:lineRule="auto"/>
              <w:rPr>
                <w:rFonts w:ascii="Times New Roman" w:hAnsi="Times New Roman"/>
                <w:szCs w:val="21"/>
              </w:rPr>
            </w:pPr>
          </w:p>
        </w:tc>
        <w:tc>
          <w:tcPr>
            <w:tcW w:w="479" w:type="dxa"/>
            <w:vMerge w:val="continue"/>
            <w:vAlign w:val="center"/>
          </w:tcPr>
          <w:p>
            <w:pPr>
              <w:spacing w:line="360" w:lineRule="auto"/>
              <w:rPr>
                <w:rFonts w:ascii="Times New Roman" w:hAnsi="Times New Roman"/>
                <w:szCs w:val="21"/>
              </w:rPr>
            </w:pPr>
          </w:p>
        </w:tc>
        <w:tc>
          <w:tcPr>
            <w:tcW w:w="893" w:type="dxa"/>
            <w:vMerge w:val="continue"/>
            <w:vAlign w:val="center"/>
          </w:tcPr>
          <w:p>
            <w:pPr>
              <w:spacing w:line="360" w:lineRule="auto"/>
              <w:rPr>
                <w:rFonts w:ascii="Times New Roman" w:hAnsi="Times New Roman"/>
                <w:szCs w:val="21"/>
              </w:rPr>
            </w:pPr>
          </w:p>
        </w:tc>
        <w:tc>
          <w:tcPr>
            <w:tcW w:w="3261" w:type="dxa"/>
            <w:tcBorders>
              <w:top w:val="single" w:color="auto" w:sz="4" w:space="0"/>
            </w:tcBorders>
            <w:vAlign w:val="center"/>
          </w:tcPr>
          <w:p>
            <w:pPr>
              <w:spacing w:line="280" w:lineRule="exact"/>
              <w:rPr>
                <w:rFonts w:ascii="Times New Roman" w:hAnsi="Times New Roman"/>
              </w:rPr>
            </w:pPr>
            <w:r>
              <w:rPr>
                <w:rFonts w:ascii="Times New Roman" w:hAnsi="Times New Roman"/>
              </w:rPr>
              <w:t>（3）矿井通风与安全知识与技能</w:t>
            </w:r>
          </w:p>
        </w:tc>
        <w:tc>
          <w:tcPr>
            <w:tcW w:w="2814" w:type="dxa"/>
            <w:tcBorders>
              <w:top w:val="single" w:color="auto" w:sz="4" w:space="0"/>
            </w:tcBorders>
            <w:vAlign w:val="center"/>
          </w:tcPr>
          <w:p>
            <w:pPr>
              <w:spacing w:line="280" w:lineRule="exact"/>
              <w:rPr>
                <w:rFonts w:ascii="Times New Roman" w:hAnsi="Times New Roman"/>
              </w:rPr>
            </w:pPr>
            <w:r>
              <w:rPr>
                <w:rFonts w:ascii="Times New Roman" w:hAnsi="Times New Roman"/>
              </w:rPr>
              <w:t>矿井通风与安全。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952" w:hRule="atLeast"/>
        </w:trPr>
        <w:tc>
          <w:tcPr>
            <w:tcW w:w="854" w:type="dxa"/>
            <w:vMerge w:val="continue"/>
            <w:vAlign w:val="center"/>
          </w:tcPr>
          <w:p>
            <w:pPr>
              <w:spacing w:line="360" w:lineRule="auto"/>
              <w:rPr>
                <w:rFonts w:ascii="Times New Roman" w:hAnsi="Times New Roman"/>
                <w:szCs w:val="21"/>
              </w:rPr>
            </w:pPr>
          </w:p>
        </w:tc>
        <w:tc>
          <w:tcPr>
            <w:tcW w:w="479" w:type="dxa"/>
            <w:vMerge w:val="continue"/>
            <w:vAlign w:val="center"/>
          </w:tcPr>
          <w:p>
            <w:pPr>
              <w:spacing w:line="360" w:lineRule="auto"/>
              <w:rPr>
                <w:rFonts w:ascii="Times New Roman" w:hAnsi="Times New Roman"/>
                <w:szCs w:val="21"/>
              </w:rPr>
            </w:pPr>
          </w:p>
        </w:tc>
        <w:tc>
          <w:tcPr>
            <w:tcW w:w="893" w:type="dxa"/>
            <w:vMerge w:val="continue"/>
            <w:vAlign w:val="center"/>
          </w:tcPr>
          <w:p>
            <w:pPr>
              <w:spacing w:line="360" w:lineRule="auto"/>
              <w:rPr>
                <w:rFonts w:ascii="Times New Roman" w:hAnsi="Times New Roman"/>
                <w:szCs w:val="21"/>
              </w:rPr>
            </w:pPr>
          </w:p>
        </w:tc>
        <w:tc>
          <w:tcPr>
            <w:tcW w:w="3261" w:type="dxa"/>
            <w:vAlign w:val="center"/>
          </w:tcPr>
          <w:p>
            <w:pPr>
              <w:spacing w:line="280" w:lineRule="exact"/>
              <w:rPr>
                <w:rFonts w:ascii="Times New Roman" w:hAnsi="Times New Roman"/>
              </w:rPr>
            </w:pPr>
            <w:r>
              <w:rPr>
                <w:rFonts w:ascii="Times New Roman" w:hAnsi="Times New Roman"/>
              </w:rPr>
              <w:t>（4）采掘机械设备基本操作技能</w:t>
            </w:r>
          </w:p>
        </w:tc>
        <w:tc>
          <w:tcPr>
            <w:tcW w:w="2814" w:type="dxa"/>
            <w:vAlign w:val="center"/>
          </w:tcPr>
          <w:p>
            <w:pPr>
              <w:spacing w:line="280" w:lineRule="exact"/>
              <w:rPr>
                <w:rFonts w:ascii="Times New Roman" w:hAnsi="Times New Roman"/>
              </w:rPr>
            </w:pPr>
            <w:r>
              <w:rPr>
                <w:rFonts w:ascii="Times New Roman" w:hAnsi="Times New Roman"/>
              </w:rPr>
              <w:t>机械制图、采掘机械（专）、矿井运输提升（专）、机械设计基础等。</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126" w:hRule="atLeast"/>
        </w:trPr>
        <w:tc>
          <w:tcPr>
            <w:tcW w:w="854" w:type="dxa"/>
            <w:vMerge w:val="restart"/>
            <w:vAlign w:val="center"/>
          </w:tcPr>
          <w:p>
            <w:pPr>
              <w:spacing w:line="360" w:lineRule="auto"/>
              <w:rPr>
                <w:rFonts w:ascii="Times New Roman" w:hAnsi="Times New Roman"/>
                <w:b/>
                <w:szCs w:val="21"/>
              </w:rPr>
            </w:pPr>
            <w:r>
              <w:rPr>
                <w:rFonts w:ascii="Times New Roman" w:hAnsi="Times New Roman"/>
                <w:b/>
                <w:szCs w:val="21"/>
              </w:rPr>
              <w:t>六、专业培养模式与教学方式</w:t>
            </w:r>
          </w:p>
        </w:tc>
        <w:tc>
          <w:tcPr>
            <w:tcW w:w="1372" w:type="dxa"/>
            <w:gridSpan w:val="2"/>
            <w:vAlign w:val="center"/>
          </w:tcPr>
          <w:p>
            <w:pPr>
              <w:spacing w:line="360" w:lineRule="auto"/>
              <w:rPr>
                <w:rFonts w:ascii="Times New Roman" w:hAnsi="Times New Roman"/>
                <w:szCs w:val="21"/>
              </w:rPr>
            </w:pPr>
            <w:r>
              <w:rPr>
                <w:rFonts w:ascii="Times New Roman" w:hAnsi="Times New Roman"/>
                <w:szCs w:val="21"/>
              </w:rPr>
              <w:t xml:space="preserve">6.1 </w:t>
            </w:r>
          </w:p>
          <w:p>
            <w:pPr>
              <w:spacing w:line="360" w:lineRule="auto"/>
              <w:rPr>
                <w:rFonts w:ascii="Times New Roman" w:hAnsi="Times New Roman"/>
                <w:szCs w:val="21"/>
              </w:rPr>
            </w:pPr>
            <w:r>
              <w:rPr>
                <w:rFonts w:ascii="Times New Roman" w:hAnsi="Times New Roman"/>
                <w:szCs w:val="21"/>
              </w:rPr>
              <w:t>培养模式</w:t>
            </w:r>
          </w:p>
        </w:tc>
        <w:tc>
          <w:tcPr>
            <w:tcW w:w="6075" w:type="dxa"/>
            <w:gridSpan w:val="2"/>
            <w:vAlign w:val="center"/>
          </w:tcPr>
          <w:p>
            <w:pPr>
              <w:spacing w:line="280" w:lineRule="exact"/>
              <w:ind w:firstLine="420" w:firstLineChars="200"/>
              <w:rPr>
                <w:rFonts w:ascii="Times New Roman" w:hAnsi="Times New Roman"/>
              </w:rPr>
            </w:pPr>
            <w:r>
              <w:rPr>
                <w:rFonts w:ascii="Times New Roman" w:hAnsi="Times New Roman"/>
              </w:rPr>
              <w:t>采用开放教育的培养模式，引入双证制度，强调学历教育与非学历教育的融合与融通。</w:t>
            </w:r>
          </w:p>
          <w:p>
            <w:pPr>
              <w:spacing w:line="280" w:lineRule="exact"/>
              <w:rPr>
                <w:rFonts w:ascii="Times New Roman" w:hAnsi="Times New Roman"/>
              </w:rPr>
            </w:pPr>
            <w:r>
              <w:rPr>
                <w:rFonts w:ascii="Times New Roman" w:hAnsi="Times New Roman"/>
              </w:rPr>
              <w:t xml:space="preserve">    1．结合国家开放大学开放式的人才培养模式，以适应从业人员学习需求的专业和课程为内容，以互联网学习环境为支撑，以学习者自主学习为主要方式，以严格而有弹性的过程管理为保障，培养留得住、用得上的应用型高级专门人才。</w:t>
            </w:r>
          </w:p>
          <w:p>
            <w:pPr>
              <w:spacing w:line="280" w:lineRule="exact"/>
              <w:ind w:firstLine="420" w:firstLineChars="200"/>
              <w:rPr>
                <w:rFonts w:ascii="Times New Roman" w:hAnsi="Times New Roman"/>
              </w:rPr>
            </w:pPr>
            <w:r>
              <w:rPr>
                <w:rFonts w:ascii="Times New Roman" w:hAnsi="Times New Roman"/>
              </w:rPr>
              <w:t>2．专业培养规格涵盖国家职业标准要求和行业职业能力标准要求，毕业生在获得毕业证书的同时，可获得相应的职业资格证书。</w:t>
            </w:r>
          </w:p>
          <w:p>
            <w:pPr>
              <w:spacing w:line="280" w:lineRule="exact"/>
              <w:ind w:firstLine="420" w:firstLineChars="200"/>
              <w:rPr>
                <w:rFonts w:ascii="Times New Roman" w:hAnsi="Times New Roman"/>
                <w:szCs w:val="21"/>
              </w:rPr>
            </w:pPr>
            <w:r>
              <w:rPr>
                <w:rFonts w:ascii="Times New Roman" w:hAnsi="Times New Roman"/>
              </w:rPr>
              <w:t>3．根据职业教育的现状和特点，注重职业教育与学历教育的对接，强调专业针对性、实用性与前瞻性的结合。</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526" w:hRule="atLeast"/>
        </w:trPr>
        <w:tc>
          <w:tcPr>
            <w:tcW w:w="854" w:type="dxa"/>
            <w:vMerge w:val="continue"/>
            <w:vAlign w:val="center"/>
          </w:tcPr>
          <w:p>
            <w:pPr>
              <w:spacing w:line="360" w:lineRule="auto"/>
              <w:rPr>
                <w:rFonts w:ascii="Times New Roman" w:hAnsi="Times New Roman"/>
                <w:szCs w:val="21"/>
              </w:rPr>
            </w:pPr>
          </w:p>
        </w:tc>
        <w:tc>
          <w:tcPr>
            <w:tcW w:w="1372" w:type="dxa"/>
            <w:gridSpan w:val="2"/>
            <w:vAlign w:val="center"/>
          </w:tcPr>
          <w:p>
            <w:pPr>
              <w:spacing w:line="280" w:lineRule="exact"/>
              <w:rPr>
                <w:rFonts w:ascii="Times New Roman" w:hAnsi="Times New Roman"/>
                <w:szCs w:val="21"/>
              </w:rPr>
            </w:pPr>
            <w:r>
              <w:rPr>
                <w:rFonts w:ascii="Times New Roman" w:hAnsi="Times New Roman"/>
                <w:szCs w:val="21"/>
              </w:rPr>
              <w:t xml:space="preserve">6.2 </w:t>
            </w:r>
          </w:p>
          <w:p>
            <w:pPr>
              <w:spacing w:line="280" w:lineRule="exact"/>
              <w:rPr>
                <w:rFonts w:ascii="Times New Roman" w:hAnsi="Times New Roman"/>
              </w:rPr>
            </w:pPr>
            <w:r>
              <w:rPr>
                <w:rFonts w:ascii="Times New Roman" w:hAnsi="Times New Roman"/>
                <w:szCs w:val="21"/>
              </w:rPr>
              <w:t>教学方式</w:t>
            </w:r>
          </w:p>
        </w:tc>
        <w:tc>
          <w:tcPr>
            <w:tcW w:w="6075" w:type="dxa"/>
            <w:gridSpan w:val="2"/>
            <w:vAlign w:val="center"/>
          </w:tcPr>
          <w:p>
            <w:pPr>
              <w:spacing w:line="280" w:lineRule="exact"/>
              <w:ind w:firstLine="420"/>
              <w:jc w:val="left"/>
              <w:rPr>
                <w:rFonts w:ascii="Times New Roman" w:hAnsi="Times New Roman"/>
                <w:szCs w:val="21"/>
              </w:rPr>
            </w:pPr>
            <w:r>
              <w:rPr>
                <w:rFonts w:ascii="Times New Roman" w:hAnsi="Times New Roman"/>
              </w:rPr>
              <w:t>采用“现代远程教育”的教学方式，</w:t>
            </w:r>
            <w:r>
              <w:rPr>
                <w:rFonts w:ascii="Times New Roman" w:hAnsi="Times New Roman"/>
                <w:szCs w:val="21"/>
              </w:rPr>
              <w:t>为学习者自主学习提供适用的多种媒体教学资源，重点开展网上教学活动。</w:t>
            </w:r>
          </w:p>
          <w:p>
            <w:pPr>
              <w:spacing w:line="280" w:lineRule="exact"/>
              <w:ind w:firstLine="420"/>
              <w:jc w:val="left"/>
              <w:rPr>
                <w:rFonts w:ascii="Times New Roman" w:hAnsi="Times New Roman"/>
              </w:rPr>
            </w:pPr>
            <w:r>
              <w:rPr>
                <w:rFonts w:ascii="Times New Roman" w:hAnsi="Times New Roman"/>
                <w:szCs w:val="21"/>
              </w:rPr>
              <w:t>以专业和岗位需求为根据，以强调实际动手能力为导向，以满足岗位技能要求为目标，结合学校自身和国家开放大学系统的优势，使理论教学与分组教学、项目驱动教学、多媒体课件、幻灯演示、音像制品的播放等多种教学方法与实践相结合，增强学生主动学习和小组协作学习的能力。</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963" w:hRule="atLeast"/>
        </w:trPr>
        <w:tc>
          <w:tcPr>
            <w:tcW w:w="854" w:type="dxa"/>
            <w:vMerge w:val="restart"/>
            <w:tcBorders>
              <w:top w:val="nil"/>
            </w:tcBorders>
            <w:vAlign w:val="center"/>
          </w:tcPr>
          <w:p>
            <w:pPr>
              <w:spacing w:line="360" w:lineRule="auto"/>
              <w:rPr>
                <w:rFonts w:ascii="Times New Roman" w:hAnsi="Times New Roman"/>
                <w:b/>
                <w:szCs w:val="21"/>
              </w:rPr>
            </w:pPr>
            <w:r>
              <w:rPr>
                <w:rFonts w:ascii="Times New Roman" w:hAnsi="Times New Roman"/>
                <w:b/>
                <w:szCs w:val="21"/>
              </w:rPr>
              <w:t>七、教学管理</w:t>
            </w:r>
          </w:p>
        </w:tc>
        <w:tc>
          <w:tcPr>
            <w:tcW w:w="1372" w:type="dxa"/>
            <w:gridSpan w:val="2"/>
            <w:vAlign w:val="center"/>
          </w:tcPr>
          <w:p>
            <w:pPr>
              <w:rPr>
                <w:rFonts w:ascii="Times New Roman" w:hAnsi="Times New Roman"/>
                <w:szCs w:val="21"/>
              </w:rPr>
            </w:pPr>
            <w:r>
              <w:rPr>
                <w:rFonts w:ascii="Times New Roman" w:hAnsi="Times New Roman"/>
                <w:szCs w:val="21"/>
              </w:rPr>
              <w:t xml:space="preserve">7.1 </w:t>
            </w:r>
          </w:p>
          <w:p>
            <w:pPr>
              <w:rPr>
                <w:rFonts w:ascii="Times New Roman" w:hAnsi="Times New Roman"/>
                <w:szCs w:val="21"/>
              </w:rPr>
            </w:pPr>
            <w:r>
              <w:rPr>
                <w:rFonts w:ascii="Times New Roman" w:hAnsi="Times New Roman"/>
                <w:szCs w:val="21"/>
              </w:rPr>
              <w:t>课程管理</w:t>
            </w:r>
          </w:p>
        </w:tc>
        <w:tc>
          <w:tcPr>
            <w:tcW w:w="6075" w:type="dxa"/>
            <w:gridSpan w:val="2"/>
            <w:vAlign w:val="center"/>
          </w:tcPr>
          <w:p>
            <w:pPr>
              <w:spacing w:line="320" w:lineRule="exact"/>
              <w:ind w:firstLine="420" w:firstLineChars="200"/>
              <w:rPr>
                <w:rFonts w:ascii="Times New Roman" w:hAnsi="Times New Roman"/>
                <w:szCs w:val="21"/>
              </w:rPr>
            </w:pPr>
            <w:r>
              <w:rPr>
                <w:rFonts w:ascii="Times New Roman" w:hAnsi="Times New Roman"/>
                <w:szCs w:val="21"/>
              </w:rPr>
              <w:t>1. 统设必修课严格执行统一课程名称、统一课程学分标准、统一教学大纲、统一教材、统一考试。</w:t>
            </w:r>
          </w:p>
          <w:p>
            <w:pPr>
              <w:spacing w:line="320" w:lineRule="exact"/>
              <w:ind w:firstLine="420" w:firstLineChars="200"/>
              <w:rPr>
                <w:rFonts w:ascii="Times New Roman" w:hAnsi="Times New Roman"/>
                <w:szCs w:val="21"/>
              </w:rPr>
            </w:pPr>
            <w:r>
              <w:rPr>
                <w:rFonts w:ascii="Times New Roman" w:hAnsi="Times New Roman"/>
                <w:szCs w:val="21"/>
              </w:rPr>
              <w:t>2. 课程实践环节成绩计入课程学习成绩，没有完成课程实践环节的不能取得课程学分。</w:t>
            </w:r>
          </w:p>
          <w:p>
            <w:pPr>
              <w:adjustRightInd w:val="0"/>
              <w:snapToGrid w:val="0"/>
              <w:ind w:firstLine="420" w:firstLineChars="200"/>
              <w:rPr>
                <w:rFonts w:ascii="Times New Roman" w:hAnsi="Times New Roman" w:eastAsia="仿宋"/>
                <w:kern w:val="0"/>
                <w:sz w:val="24"/>
              </w:rPr>
            </w:pPr>
            <w:r>
              <w:rPr>
                <w:rFonts w:ascii="Times New Roman" w:hAnsi="Times New Roman"/>
                <w:szCs w:val="21"/>
              </w:rPr>
              <w:t>3. 相似课程不宜兼修，如果兼修，只计其中一门课程的学分。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1516" w:hRule="atLeast"/>
        </w:trPr>
        <w:tc>
          <w:tcPr>
            <w:tcW w:w="854" w:type="dxa"/>
            <w:vMerge w:val="continue"/>
            <w:vAlign w:val="center"/>
          </w:tcPr>
          <w:p>
            <w:pPr>
              <w:spacing w:line="360" w:lineRule="auto"/>
              <w:rPr>
                <w:rFonts w:ascii="Times New Roman" w:hAnsi="Times New Roman"/>
                <w:szCs w:val="21"/>
              </w:rPr>
            </w:pPr>
          </w:p>
        </w:tc>
        <w:tc>
          <w:tcPr>
            <w:tcW w:w="1372" w:type="dxa"/>
            <w:gridSpan w:val="2"/>
            <w:vAlign w:val="center"/>
          </w:tcPr>
          <w:p>
            <w:pPr>
              <w:rPr>
                <w:rFonts w:ascii="Times New Roman" w:hAnsi="Times New Roman"/>
                <w:szCs w:val="21"/>
              </w:rPr>
            </w:pPr>
            <w:r>
              <w:rPr>
                <w:rFonts w:ascii="Times New Roman" w:hAnsi="Times New Roman"/>
                <w:szCs w:val="21"/>
              </w:rPr>
              <w:t>7.2</w:t>
            </w:r>
          </w:p>
          <w:p>
            <w:pPr>
              <w:rPr>
                <w:rFonts w:ascii="Times New Roman" w:hAnsi="Times New Roman"/>
                <w:szCs w:val="21"/>
              </w:rPr>
            </w:pPr>
            <w:r>
              <w:rPr>
                <w:rFonts w:ascii="Times New Roman" w:hAnsi="Times New Roman"/>
                <w:szCs w:val="21"/>
              </w:rPr>
              <w:t>开课学期</w:t>
            </w:r>
          </w:p>
        </w:tc>
        <w:tc>
          <w:tcPr>
            <w:tcW w:w="6075" w:type="dxa"/>
            <w:gridSpan w:val="2"/>
            <w:vAlign w:val="center"/>
          </w:tcPr>
          <w:p>
            <w:pPr>
              <w:spacing w:line="280" w:lineRule="exact"/>
              <w:ind w:firstLine="420"/>
              <w:rPr>
                <w:rFonts w:ascii="Times New Roman" w:hAnsi="Times New Roman"/>
                <w:szCs w:val="21"/>
              </w:rPr>
            </w:pPr>
            <w:r>
              <w:rPr>
                <w:rFonts w:ascii="Times New Roman" w:hAnsi="Times New Roman"/>
                <w:szCs w:val="21"/>
              </w:rPr>
              <w:t>1. 专业规则表中各课程建议开设学期是根据专业知识结构提供的课程先修、后续关系确定的，供学生选课时参考。</w:t>
            </w:r>
          </w:p>
          <w:p>
            <w:pPr>
              <w:spacing w:line="280" w:lineRule="exact"/>
              <w:rPr>
                <w:rFonts w:ascii="Times New Roman" w:hAnsi="Times New Roman"/>
              </w:rPr>
            </w:pPr>
            <w:r>
              <w:rPr>
                <w:rFonts w:ascii="Times New Roman" w:hAnsi="Times New Roman"/>
                <w:szCs w:val="21"/>
              </w:rPr>
              <w:t xml:space="preserve">    2. 开放教育各专业所有统设必修课程首轮开设时必须按照建议开设学期开课，之后实行全年滚动开设。</w:t>
            </w:r>
          </w:p>
        </w:tc>
      </w:tr>
    </w:tbl>
    <w:p>
      <w:pPr>
        <w:rPr>
          <w:rFonts w:ascii="Times New Roman" w:hAnsi="Times New Roman"/>
        </w:rPr>
      </w:pPr>
    </w:p>
    <w:p>
      <w:pPr>
        <w:pStyle w:val="2"/>
        <w:spacing w:before="0" w:after="0"/>
        <w:ind w:firstLine="721"/>
        <w:rPr>
          <w:rFonts w:ascii="华文中宋" w:hAnsi="华文中宋" w:eastAsia="华文中宋"/>
          <w:sz w:val="36"/>
          <w:szCs w:val="36"/>
        </w:rPr>
      </w:pPr>
      <w:bookmarkStart w:id="16" w:name="_Toc423019097"/>
      <w:r>
        <w:rPr>
          <w:rFonts w:ascii="华文中宋" w:hAnsi="华文中宋" w:eastAsia="华文中宋"/>
          <w:sz w:val="36"/>
          <w:szCs w:val="36"/>
        </w:rPr>
        <w:t>第五部分煤矿开采技术专业（专科）课程说明</w:t>
      </w:r>
      <w:bookmarkEnd w:id="16"/>
    </w:p>
    <w:tbl>
      <w:tblPr>
        <w:tblStyle w:val="21"/>
        <w:tblW w:w="8931"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951"/>
        <w:gridCol w:w="6153"/>
        <w:gridCol w:w="448"/>
        <w:gridCol w:w="6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pPr>
              <w:spacing w:line="280" w:lineRule="exact"/>
              <w:jc w:val="center"/>
              <w:rPr>
                <w:rFonts w:ascii="Times New Roman" w:hAnsi="Times New Roman"/>
                <w:b/>
                <w:szCs w:val="21"/>
              </w:rPr>
            </w:pPr>
            <w:r>
              <w:rPr>
                <w:rFonts w:ascii="Times New Roman" w:hAnsi="Times New Roman"/>
                <w:b/>
                <w:szCs w:val="21"/>
              </w:rPr>
              <w:t>课程</w:t>
            </w:r>
          </w:p>
          <w:p>
            <w:pPr>
              <w:spacing w:line="276" w:lineRule="auto"/>
              <w:jc w:val="center"/>
              <w:rPr>
                <w:rFonts w:ascii="Times New Roman" w:hAnsi="Times New Roman"/>
                <w:b/>
                <w:szCs w:val="21"/>
              </w:rPr>
            </w:pPr>
            <w:r>
              <w:rPr>
                <w:rFonts w:ascii="Times New Roman" w:hAnsi="Times New Roman"/>
                <w:b/>
                <w:szCs w:val="21"/>
              </w:rPr>
              <w:t>性质</w:t>
            </w:r>
          </w:p>
        </w:tc>
        <w:tc>
          <w:tcPr>
            <w:tcW w:w="951" w:type="dxa"/>
            <w:vAlign w:val="center"/>
          </w:tcPr>
          <w:p>
            <w:pPr>
              <w:spacing w:line="280" w:lineRule="exact"/>
              <w:jc w:val="center"/>
              <w:rPr>
                <w:rFonts w:ascii="Times New Roman" w:hAnsi="Times New Roman"/>
                <w:b/>
                <w:szCs w:val="21"/>
              </w:rPr>
            </w:pPr>
            <w:r>
              <w:rPr>
                <w:rFonts w:ascii="Times New Roman" w:hAnsi="Times New Roman"/>
                <w:b/>
                <w:szCs w:val="21"/>
              </w:rPr>
              <w:t>课程</w:t>
            </w:r>
          </w:p>
          <w:p>
            <w:pPr>
              <w:spacing w:line="276" w:lineRule="auto"/>
              <w:jc w:val="center"/>
              <w:rPr>
                <w:rFonts w:ascii="Times New Roman" w:hAnsi="Times New Roman"/>
                <w:b/>
                <w:szCs w:val="21"/>
              </w:rPr>
            </w:pPr>
            <w:r>
              <w:rPr>
                <w:rFonts w:ascii="Times New Roman" w:hAnsi="Times New Roman"/>
                <w:b/>
                <w:szCs w:val="21"/>
              </w:rPr>
              <w:t>名称</w:t>
            </w:r>
          </w:p>
        </w:tc>
        <w:tc>
          <w:tcPr>
            <w:tcW w:w="6153" w:type="dxa"/>
            <w:vAlign w:val="center"/>
          </w:tcPr>
          <w:p>
            <w:pPr>
              <w:spacing w:line="276" w:lineRule="auto"/>
              <w:jc w:val="center"/>
              <w:rPr>
                <w:rFonts w:ascii="Times New Roman" w:hAnsi="Times New Roman"/>
                <w:b/>
                <w:szCs w:val="21"/>
              </w:rPr>
            </w:pPr>
            <w:r>
              <w:rPr>
                <w:rFonts w:ascii="Times New Roman" w:hAnsi="Times New Roman"/>
                <w:b/>
                <w:szCs w:val="21"/>
              </w:rPr>
              <w:t>内容介绍</w:t>
            </w:r>
          </w:p>
        </w:tc>
        <w:tc>
          <w:tcPr>
            <w:tcW w:w="448" w:type="dxa"/>
            <w:vAlign w:val="center"/>
          </w:tcPr>
          <w:p>
            <w:pPr>
              <w:spacing w:line="276" w:lineRule="auto"/>
              <w:jc w:val="center"/>
              <w:rPr>
                <w:rFonts w:ascii="Times New Roman" w:hAnsi="Times New Roman"/>
                <w:b/>
                <w:szCs w:val="21"/>
              </w:rPr>
            </w:pPr>
            <w:r>
              <w:rPr>
                <w:rFonts w:ascii="Times New Roman" w:hAnsi="Times New Roman"/>
                <w:b/>
                <w:szCs w:val="21"/>
              </w:rPr>
              <w:t>学分</w:t>
            </w:r>
          </w:p>
        </w:tc>
        <w:tc>
          <w:tcPr>
            <w:tcW w:w="675" w:type="dxa"/>
            <w:vAlign w:val="center"/>
          </w:tcPr>
          <w:p>
            <w:pPr>
              <w:spacing w:line="276" w:lineRule="auto"/>
              <w:jc w:val="center"/>
              <w:rPr>
                <w:rFonts w:ascii="Times New Roman" w:hAnsi="Times New Roman"/>
                <w:b/>
                <w:szCs w:val="21"/>
              </w:rPr>
            </w:pPr>
            <w:r>
              <w:rPr>
                <w:rFonts w:ascii="Times New Roman" w:hAnsi="Times New Roman"/>
                <w:b/>
                <w:szCs w:val="21"/>
              </w:rPr>
              <w:t>教学时数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3" w:hRule="atLeast"/>
        </w:trPr>
        <w:tc>
          <w:tcPr>
            <w:tcW w:w="704" w:type="dxa"/>
            <w:vMerge w:val="restart"/>
            <w:vAlign w:val="center"/>
          </w:tcPr>
          <w:p>
            <w:pPr>
              <w:spacing w:line="280" w:lineRule="exact"/>
              <w:jc w:val="center"/>
              <w:rPr>
                <w:rFonts w:ascii="Times New Roman" w:hAnsi="Times New Roman"/>
                <w:b/>
                <w:szCs w:val="21"/>
              </w:rPr>
            </w:pPr>
            <w:r>
              <w:rPr>
                <w:rFonts w:ascii="Times New Roman" w:hAnsi="Times New Roman"/>
                <w:b/>
                <w:szCs w:val="21"/>
              </w:rPr>
              <w:t>公</w:t>
            </w:r>
          </w:p>
          <w:p>
            <w:pPr>
              <w:spacing w:line="280" w:lineRule="exact"/>
              <w:jc w:val="center"/>
              <w:rPr>
                <w:rFonts w:ascii="Times New Roman" w:hAnsi="Times New Roman"/>
                <w:b/>
                <w:szCs w:val="21"/>
              </w:rPr>
            </w:pPr>
            <w:r>
              <w:rPr>
                <w:rFonts w:ascii="Times New Roman" w:hAnsi="Times New Roman"/>
                <w:b/>
                <w:szCs w:val="21"/>
              </w:rPr>
              <w:t>共</w:t>
            </w:r>
          </w:p>
          <w:p>
            <w:pPr>
              <w:spacing w:line="280" w:lineRule="exact"/>
              <w:jc w:val="center"/>
              <w:rPr>
                <w:rFonts w:ascii="Times New Roman" w:hAnsi="Times New Roman"/>
                <w:b/>
                <w:szCs w:val="21"/>
              </w:rPr>
            </w:pPr>
            <w:r>
              <w:rPr>
                <w:rFonts w:ascii="Times New Roman" w:hAnsi="Times New Roman"/>
                <w:b/>
                <w:szCs w:val="21"/>
              </w:rPr>
              <w:t>基</w:t>
            </w:r>
          </w:p>
          <w:p>
            <w:pPr>
              <w:spacing w:line="280" w:lineRule="exact"/>
              <w:jc w:val="center"/>
              <w:rPr>
                <w:rFonts w:ascii="Times New Roman" w:hAnsi="Times New Roman"/>
                <w:b/>
                <w:szCs w:val="21"/>
              </w:rPr>
            </w:pPr>
            <w:r>
              <w:rPr>
                <w:rFonts w:ascii="Times New Roman" w:hAnsi="Times New Roman"/>
                <w:b/>
                <w:szCs w:val="21"/>
              </w:rPr>
              <w:t>础</w:t>
            </w:r>
          </w:p>
          <w:p>
            <w:pPr>
              <w:spacing w:line="276" w:lineRule="auto"/>
              <w:jc w:val="center"/>
              <w:rPr>
                <w:rFonts w:ascii="Times New Roman" w:hAnsi="Times New Roman"/>
                <w:szCs w:val="21"/>
              </w:rPr>
            </w:pPr>
            <w:r>
              <w:rPr>
                <w:rFonts w:ascii="Times New Roman" w:hAnsi="Times New Roman"/>
                <w:b/>
                <w:szCs w:val="21"/>
              </w:rPr>
              <w:t>课</w:t>
            </w:r>
          </w:p>
        </w:tc>
        <w:tc>
          <w:tcPr>
            <w:tcW w:w="951" w:type="dxa"/>
            <w:vAlign w:val="center"/>
          </w:tcPr>
          <w:p>
            <w:pPr>
              <w:spacing w:line="276" w:lineRule="auto"/>
              <w:jc w:val="center"/>
              <w:rPr>
                <w:rFonts w:ascii="Times New Roman" w:hAnsi="Times New Roman"/>
                <w:szCs w:val="21"/>
              </w:rPr>
            </w:pPr>
            <w:r>
              <w:rPr>
                <w:rFonts w:ascii="Times New Roman" w:hAnsi="Times New Roman"/>
                <w:szCs w:val="21"/>
              </w:rPr>
              <w:t>国家开放大学学习指南</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 1学分，课内学时18学时，统设必修，开设一学期。</w:t>
            </w:r>
          </w:p>
          <w:p>
            <w:pPr>
              <w:spacing w:line="360" w:lineRule="exact"/>
              <w:jc w:val="left"/>
              <w:rPr>
                <w:rFonts w:ascii="Times New Roman" w:hAnsi="Times New Roman"/>
                <w:szCs w:val="21"/>
              </w:rPr>
            </w:pPr>
            <w:r>
              <w:rPr>
                <w:rFonts w:ascii="Times New Roman" w:hAnsi="Times New Roman"/>
                <w:szCs w:val="21"/>
              </w:rPr>
              <w:t>本课程的主要内容：以完成学习任务的过程为导向，从学习者如何完成国家开放大学规定的专业学习任务的角度，让学习者学会如何完成一门课程的学习和一个专业的学习；同时描述国家开放大学基本的学习方式，说明国家开放大学的学习环境，解释国家开放大学学习平台上基本术语的涵义，使学生能使用学习平台的基本工具辅助完成学习活动，并且了解国家开放大学学生相关事务与管理规定。使学生初步具备利用现代远程技术在国家开放大学进行学习的能力。</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1</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2"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80" w:lineRule="exact"/>
              <w:jc w:val="center"/>
              <w:rPr>
                <w:rFonts w:ascii="Times New Roman" w:hAnsi="Times New Roman"/>
                <w:szCs w:val="21"/>
              </w:rPr>
            </w:pPr>
            <w:r>
              <w:rPr>
                <w:rFonts w:ascii="Times New Roman" w:hAnsi="Times New Roman"/>
                <w:kern w:val="0"/>
                <w:szCs w:val="21"/>
              </w:rPr>
              <w:t>中国特色社会主义理论体系概论</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本课程2学分，课内学时36学时，统设必修，开设一学期。</w:t>
            </w:r>
          </w:p>
          <w:p>
            <w:pPr>
              <w:spacing w:line="360" w:lineRule="exact"/>
              <w:ind w:firstLine="420" w:firstLineChars="200"/>
              <w:rPr>
                <w:rFonts w:ascii="Times New Roman" w:hAnsi="Times New Roman"/>
                <w:szCs w:val="21"/>
              </w:rPr>
            </w:pPr>
            <w:r>
              <w:rPr>
                <w:rFonts w:ascii="Times New Roman" w:hAnsi="Times New Roman"/>
                <w:szCs w:val="21"/>
              </w:rPr>
              <w:t>本课程是根据我国改革开放以来，中国共产党历次代表大会，特别是十八大报告精神，为培养学生掌握中国特色社会主义理论体系的主要内容和精神实质而开设的公共必修思想政治理论课。</w:t>
            </w:r>
          </w:p>
          <w:p>
            <w:pPr>
              <w:spacing w:line="360" w:lineRule="exact"/>
              <w:ind w:firstLine="420" w:firstLineChars="200"/>
              <w:rPr>
                <w:rFonts w:ascii="Times New Roman" w:hAnsi="Times New Roman"/>
                <w:szCs w:val="21"/>
              </w:rPr>
            </w:pPr>
            <w:r>
              <w:rPr>
                <w:rFonts w:ascii="Times New Roman" w:hAnsi="Times New Roman"/>
                <w:szCs w:val="21"/>
              </w:rPr>
              <w:t>本课程介绍了中国特色社会主义理论体系的形成发展过程及中国特色社会主义的思想路线、总依据、总任务、发展动力，中国特色社会主义的经济建设、政治建设、文化建设、社会建设、生态文明建设，祖国完全统一构想和新时期外交政策，中国特色社会主义的依靠力量和领导核心等内容。</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2</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9"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高等数学基础</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本课程3学分，课内学时54学时，统设选修，开设一学期。</w:t>
            </w:r>
          </w:p>
          <w:p>
            <w:pPr>
              <w:spacing w:line="360" w:lineRule="exact"/>
              <w:ind w:firstLine="420" w:firstLineChars="200"/>
              <w:rPr>
                <w:rFonts w:ascii="Times New Roman" w:hAnsi="Times New Roman"/>
                <w:szCs w:val="21"/>
              </w:rPr>
            </w:pPr>
            <w:r>
              <w:rPr>
                <w:rFonts w:hint="eastAsia" w:ascii="Times New Roman" w:hAnsi="Times New Roman"/>
                <w:szCs w:val="21"/>
              </w:rPr>
              <w:t>通过本课程的学习, 使学生系统地获得一元函数微积分的基本知识, 掌握必要的基础理论和常用的计算方法, 使学生初步受到用数学方法解决实际问题的能力训练。</w:t>
            </w:r>
          </w:p>
          <w:p>
            <w:pPr>
              <w:spacing w:line="360" w:lineRule="exact"/>
              <w:rPr>
                <w:rFonts w:ascii="Times New Roman" w:hAnsi="Times New Roman"/>
                <w:szCs w:val="21"/>
              </w:rPr>
            </w:pPr>
            <w:r>
              <w:rPr>
                <w:rFonts w:hint="eastAsia" w:ascii="Times New Roman" w:hAnsi="Times New Roman"/>
                <w:szCs w:val="21"/>
              </w:rPr>
              <w:t>本课程的主要内容: 函数, 极限与连续, 导数与微分, 导数应用, 不定积分和定积分及其应用。</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3</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0"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计算机应用基础</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本课程4学分，课内学时72学时，统设选修，开设一学期。</w:t>
            </w:r>
          </w:p>
          <w:p>
            <w:pPr>
              <w:spacing w:line="360" w:lineRule="exact"/>
              <w:ind w:firstLine="420" w:firstLineChars="200"/>
              <w:rPr>
                <w:rFonts w:ascii="Times New Roman" w:hAnsi="Times New Roman"/>
                <w:szCs w:val="21"/>
              </w:rPr>
            </w:pPr>
            <w:r>
              <w:rPr>
                <w:rFonts w:ascii="Times New Roman" w:hAnsi="Times New Roman"/>
                <w:szCs w:val="21"/>
              </w:rPr>
              <w:t>本课程是一门计算机知识的入门课程，内容着重计算机的基础知识、基本概念和基本操作技能，并兼顾实用软件的使用和计算机应用领域的前沿知识，为学生熟练使用计算机和进一步学习计算机有关知识打下基础。</w:t>
            </w:r>
          </w:p>
          <w:p>
            <w:pPr>
              <w:spacing w:line="360" w:lineRule="exact"/>
              <w:ind w:firstLine="420" w:firstLineChars="200"/>
              <w:rPr>
                <w:rFonts w:ascii="Times New Roman" w:hAnsi="Times New Roman"/>
                <w:szCs w:val="21"/>
              </w:rPr>
            </w:pPr>
            <w:r>
              <w:rPr>
                <w:rFonts w:ascii="Times New Roman" w:hAnsi="Times New Roman"/>
                <w:szCs w:val="21"/>
              </w:rPr>
              <w:t>本课程主要学习 Windows操作系统、文字处理软件Word、电子表格Excel、演示文稿powerpoint、网络基础知识、计算机多媒体技术等，通过强化练习，熟练掌握计算机操作技巧，会利用计算机制作常用的应用文书，会利用网络查找需要的资料。</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4</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5"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kern w:val="0"/>
                <w:szCs w:val="21"/>
              </w:rPr>
              <w:t>英语</w:t>
            </w:r>
            <w:r>
              <w:rPr>
                <w:rFonts w:hint="eastAsia" w:ascii="宋体" w:hAnsi="宋体" w:cs="宋体"/>
                <w:kern w:val="0"/>
                <w:szCs w:val="21"/>
              </w:rPr>
              <w:t>Ⅰ</w:t>
            </w:r>
            <w:r>
              <w:rPr>
                <w:rFonts w:ascii="Times New Roman" w:hAnsi="Times New Roman"/>
                <w:kern w:val="0"/>
                <w:szCs w:val="21"/>
              </w:rPr>
              <w:t>（1）</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本课程3学分，课内学时54学时，统设选修，开设一学期。</w:t>
            </w:r>
          </w:p>
          <w:p>
            <w:pPr>
              <w:spacing w:line="360" w:lineRule="exact"/>
              <w:ind w:firstLine="420" w:firstLineChars="200"/>
              <w:rPr>
                <w:rFonts w:ascii="Times New Roman" w:hAnsi="Times New Roman"/>
                <w:szCs w:val="21"/>
              </w:rPr>
            </w:pPr>
            <w:r>
              <w:rPr>
                <w:rFonts w:ascii="Times New Roman" w:hAnsi="Times New Roman"/>
                <w:szCs w:val="21"/>
              </w:rPr>
              <w:t>本课程是国家开放大学非英语专业的专科和本科的公共基础课，供各类专业（不含英语专业）的专科学生学习。</w:t>
            </w:r>
          </w:p>
          <w:p>
            <w:pPr>
              <w:spacing w:line="360" w:lineRule="exact"/>
              <w:ind w:firstLine="420" w:firstLineChars="200"/>
              <w:rPr>
                <w:rFonts w:ascii="Times New Roman" w:hAnsi="Times New Roman"/>
                <w:szCs w:val="21"/>
              </w:rPr>
            </w:pPr>
            <w:r>
              <w:rPr>
                <w:rFonts w:ascii="Times New Roman" w:hAnsi="Times New Roman"/>
                <w:szCs w:val="21"/>
              </w:rPr>
              <w:t>本课程依据“以学生为中心”的现代教学思想进行教学资源设计，致力于培养学生的自主学习意识。同时，参照全国公共英语等级考试的基本要求，使本课程所含词汇及语法点能与之接轨。</w:t>
            </w:r>
          </w:p>
          <w:p>
            <w:pPr>
              <w:pStyle w:val="19"/>
              <w:adjustRightInd w:val="0"/>
              <w:snapToGrid w:val="0"/>
              <w:spacing w:before="0" w:beforeAutospacing="0" w:after="0" w:afterAutospacing="0" w:line="360" w:lineRule="exact"/>
              <w:ind w:firstLine="420" w:firstLineChars="200"/>
              <w:rPr>
                <w:rFonts w:ascii="Times New Roman" w:hAnsi="Times New Roman" w:cs="Times New Roman"/>
                <w:kern w:val="2"/>
                <w:sz w:val="21"/>
                <w:szCs w:val="21"/>
              </w:rPr>
            </w:pPr>
            <w:r>
              <w:rPr>
                <w:rFonts w:ascii="Times New Roman" w:hAnsi="Times New Roman" w:cs="Times New Roman"/>
                <w:kern w:val="2"/>
                <w:sz w:val="21"/>
                <w:szCs w:val="21"/>
              </w:rPr>
              <w:t>通过本课程的学习，学生应能掌握1 100个左右的常用词汇和若干相关的常用词组及基础语法知识；能够听懂发音清楚，语速较慢的教学用语和日常生活用语，并能用英语进行简单的日常交谈；能够读懂所学词汇和语法范围内的故事、短文及通知、便条等；能够写出简短的私人信函，或用便条转达具体信息。</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3</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6" w:hRule="atLeast"/>
        </w:trPr>
        <w:tc>
          <w:tcPr>
            <w:tcW w:w="704" w:type="dxa"/>
            <w:vMerge w:val="restart"/>
            <w:vAlign w:val="center"/>
          </w:tcPr>
          <w:p>
            <w:pPr>
              <w:spacing w:line="280" w:lineRule="exact"/>
              <w:jc w:val="center"/>
              <w:rPr>
                <w:rFonts w:ascii="Times New Roman" w:hAnsi="Times New Roman"/>
                <w:b/>
                <w:szCs w:val="21"/>
              </w:rPr>
            </w:pPr>
            <w:r>
              <w:rPr>
                <w:rFonts w:ascii="Times New Roman" w:hAnsi="Times New Roman"/>
                <w:b/>
                <w:szCs w:val="21"/>
              </w:rPr>
              <w:t>专</w:t>
            </w:r>
          </w:p>
          <w:p>
            <w:pPr>
              <w:spacing w:line="280" w:lineRule="exact"/>
              <w:jc w:val="center"/>
              <w:rPr>
                <w:rFonts w:ascii="Times New Roman" w:hAnsi="Times New Roman"/>
                <w:b/>
                <w:szCs w:val="21"/>
              </w:rPr>
            </w:pPr>
            <w:r>
              <w:rPr>
                <w:rFonts w:ascii="Times New Roman" w:hAnsi="Times New Roman"/>
                <w:b/>
                <w:szCs w:val="21"/>
              </w:rPr>
              <w:t>业</w:t>
            </w:r>
          </w:p>
          <w:p>
            <w:pPr>
              <w:spacing w:line="280" w:lineRule="exact"/>
              <w:jc w:val="center"/>
              <w:rPr>
                <w:rFonts w:ascii="Times New Roman" w:hAnsi="Times New Roman"/>
                <w:b/>
                <w:szCs w:val="21"/>
              </w:rPr>
            </w:pPr>
            <w:r>
              <w:rPr>
                <w:rFonts w:ascii="Times New Roman" w:hAnsi="Times New Roman"/>
                <w:b/>
                <w:szCs w:val="21"/>
              </w:rPr>
              <w:t>基</w:t>
            </w:r>
          </w:p>
          <w:p>
            <w:pPr>
              <w:spacing w:line="280" w:lineRule="exact"/>
              <w:jc w:val="center"/>
              <w:rPr>
                <w:rFonts w:ascii="Times New Roman" w:hAnsi="Times New Roman"/>
                <w:b/>
                <w:szCs w:val="21"/>
              </w:rPr>
            </w:pPr>
            <w:r>
              <w:rPr>
                <w:rFonts w:ascii="Times New Roman" w:hAnsi="Times New Roman"/>
                <w:b/>
                <w:szCs w:val="21"/>
              </w:rPr>
              <w:t>础</w:t>
            </w:r>
          </w:p>
          <w:p>
            <w:pPr>
              <w:spacing w:line="280" w:lineRule="exact"/>
              <w:jc w:val="center"/>
              <w:rPr>
                <w:rFonts w:ascii="Times New Roman" w:hAnsi="Times New Roman"/>
                <w:szCs w:val="21"/>
              </w:rPr>
            </w:pPr>
            <w:r>
              <w:rPr>
                <w:rFonts w:ascii="Times New Roman" w:hAnsi="Times New Roman"/>
                <w:b/>
                <w:szCs w:val="21"/>
              </w:rPr>
              <w:t>课</w:t>
            </w:r>
          </w:p>
        </w:tc>
        <w:tc>
          <w:tcPr>
            <w:tcW w:w="951" w:type="dxa"/>
            <w:vAlign w:val="center"/>
          </w:tcPr>
          <w:p>
            <w:pPr>
              <w:spacing w:line="276" w:lineRule="auto"/>
              <w:jc w:val="center"/>
              <w:rPr>
                <w:rFonts w:ascii="Times New Roman" w:hAnsi="Times New Roman"/>
                <w:szCs w:val="21"/>
              </w:rPr>
            </w:pPr>
            <w:r>
              <w:rPr>
                <w:rFonts w:ascii="Times New Roman" w:hAnsi="Times New Roman"/>
                <w:szCs w:val="21"/>
              </w:rPr>
              <w:t>机械</w:t>
            </w:r>
          </w:p>
          <w:p>
            <w:pPr>
              <w:spacing w:line="276" w:lineRule="auto"/>
              <w:jc w:val="center"/>
              <w:rPr>
                <w:rFonts w:ascii="Times New Roman" w:hAnsi="Times New Roman"/>
                <w:szCs w:val="21"/>
              </w:rPr>
            </w:pPr>
            <w:r>
              <w:rPr>
                <w:rFonts w:ascii="Times New Roman" w:hAnsi="Times New Roman"/>
                <w:szCs w:val="21"/>
              </w:rPr>
              <w:t>制图</w:t>
            </w:r>
          </w:p>
        </w:tc>
        <w:tc>
          <w:tcPr>
            <w:tcW w:w="6153" w:type="dxa"/>
            <w:vAlign w:val="center"/>
          </w:tcPr>
          <w:p>
            <w:pPr>
              <w:spacing w:line="360" w:lineRule="exact"/>
              <w:ind w:firstLine="420" w:firstLineChars="200"/>
              <w:jc w:val="left"/>
              <w:rPr>
                <w:rFonts w:ascii="Times New Roman" w:hAnsi="Times New Roman"/>
                <w:szCs w:val="21"/>
              </w:rPr>
            </w:pPr>
            <w:r>
              <w:rPr>
                <w:rFonts w:ascii="Times New Roman" w:hAnsi="Times New Roman"/>
                <w:szCs w:val="21"/>
              </w:rPr>
              <w:t>本课程5学分，课内学时90学时，统设必修，开设一学期。</w:t>
            </w:r>
          </w:p>
          <w:p>
            <w:pPr>
              <w:spacing w:line="360" w:lineRule="exact"/>
              <w:ind w:firstLine="420" w:firstLineChars="200"/>
              <w:jc w:val="left"/>
              <w:rPr>
                <w:rFonts w:ascii="Times New Roman" w:hAnsi="Times New Roman"/>
                <w:szCs w:val="21"/>
              </w:rPr>
            </w:pPr>
            <w:r>
              <w:rPr>
                <w:rFonts w:hint="eastAsia" w:ascii="Times New Roman" w:hAnsi="Times New Roman"/>
                <w:szCs w:val="21"/>
              </w:rPr>
              <w:t>本课程内容涵盖理论力学、材料力学、弹性力学和岩石力学的初级内容。</w:t>
            </w:r>
          </w:p>
          <w:p>
            <w:pPr>
              <w:spacing w:line="360" w:lineRule="exact"/>
              <w:ind w:firstLine="420" w:firstLineChars="200"/>
              <w:rPr>
                <w:rFonts w:ascii="Times New Roman" w:hAnsi="Times New Roman"/>
                <w:szCs w:val="21"/>
              </w:rPr>
            </w:pPr>
            <w:r>
              <w:rPr>
                <w:rFonts w:hint="eastAsia" w:ascii="Times New Roman" w:hAnsi="Times New Roman"/>
                <w:szCs w:val="21"/>
              </w:rPr>
              <w:t>通过对本课程的学习，使学生建立对于工程力学的整体认识，掌握力学的最基本概念、理论和方法; 了解力学在工程中的作用; 为学生提供必备的现代力学基本素质教育，培养学生在工程中认识、提出力学问题，并利用力学知识研究、解决问题的素质和能力。</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5</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煤矿</w:t>
            </w:r>
          </w:p>
          <w:p>
            <w:pPr>
              <w:spacing w:line="276" w:lineRule="auto"/>
              <w:jc w:val="center"/>
              <w:rPr>
                <w:rFonts w:ascii="Times New Roman" w:hAnsi="Times New Roman"/>
                <w:szCs w:val="21"/>
              </w:rPr>
            </w:pPr>
            <w:r>
              <w:rPr>
                <w:rFonts w:ascii="Times New Roman" w:hAnsi="Times New Roman"/>
                <w:szCs w:val="21"/>
              </w:rPr>
              <w:t>地质</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本课程3学分，课内学时54学时，统设必修，开设一学期。</w:t>
            </w:r>
          </w:p>
          <w:p>
            <w:pPr>
              <w:spacing w:line="360" w:lineRule="exact"/>
              <w:ind w:firstLine="420" w:firstLineChars="200"/>
              <w:rPr>
                <w:rFonts w:ascii="Times New Roman" w:hAnsi="Times New Roman"/>
                <w:szCs w:val="21"/>
              </w:rPr>
            </w:pPr>
            <w:r>
              <w:rPr>
                <w:rFonts w:ascii="Times New Roman" w:hAnsi="Times New Roman"/>
                <w:szCs w:val="21"/>
              </w:rPr>
              <w:t>通过本课程的学习，使学生能够掌握煤矿各种地质构造和对煤矿安全生产的影响。</w:t>
            </w:r>
          </w:p>
          <w:p>
            <w:pPr>
              <w:spacing w:line="360" w:lineRule="exact"/>
              <w:ind w:firstLine="420" w:firstLineChars="200"/>
              <w:rPr>
                <w:rFonts w:ascii="Times New Roman" w:hAnsi="Times New Roman"/>
                <w:szCs w:val="21"/>
              </w:rPr>
            </w:pPr>
            <w:r>
              <w:rPr>
                <w:rFonts w:ascii="Times New Roman" w:hAnsi="Times New Roman"/>
                <w:szCs w:val="21"/>
              </w:rPr>
              <w:t>本课程的主要内容：矿物岩石，地质构造，煤及含煤岩系，瓦斯地质，影响煤矿生产安全的主要地质因素等。</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3</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8"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电工电子技术</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本课程4学分，课内学时72学时，统设选修，开设一学期。</w:t>
            </w:r>
          </w:p>
          <w:p>
            <w:pPr>
              <w:spacing w:line="360" w:lineRule="exact"/>
              <w:ind w:firstLine="420" w:firstLineChars="200"/>
              <w:rPr>
                <w:rFonts w:ascii="Times New Roman" w:hAnsi="Times New Roman"/>
                <w:szCs w:val="21"/>
              </w:rPr>
            </w:pPr>
            <w:r>
              <w:rPr>
                <w:rFonts w:ascii="Times New Roman" w:hAnsi="Times New Roman"/>
                <w:szCs w:val="21"/>
              </w:rPr>
              <w:t>本课程是研究电、磁以及电子技术在工程技术领域应用的一门科学，是工程技术人必须具备的基础知识。通过本课程的学习，使学生掌握电路、电机以及电子技术方面的基本理论、基本知识以及在工程技术领域中应用的基本方法和操作技能。</w:t>
            </w:r>
          </w:p>
          <w:p>
            <w:pPr>
              <w:spacing w:line="360" w:lineRule="exact"/>
              <w:ind w:firstLine="420" w:firstLineChars="200"/>
              <w:rPr>
                <w:rFonts w:ascii="Times New Roman" w:hAnsi="Times New Roman"/>
                <w:szCs w:val="21"/>
              </w:rPr>
            </w:pPr>
            <w:r>
              <w:rPr>
                <w:rFonts w:ascii="Times New Roman" w:hAnsi="Times New Roman"/>
                <w:szCs w:val="21"/>
              </w:rPr>
              <w:t>本课程内容主要包括电工技术和电子技术两大部分。电工技术的主要内容包括直流电路、交流电路、磁路基本概念、电动机及其应用、电工测量技术、电工仪表、工具、低压电器和安全用电等内容；电子技术部分主要包括基本电子元器件、基本电子线路、放大器、稳压器、基本数字电路、电子测量技术、常用电子测试设备及新技术介绍等内容。</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4</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19"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机械设计基础</w:t>
            </w:r>
          </w:p>
        </w:tc>
        <w:tc>
          <w:tcPr>
            <w:tcW w:w="6153" w:type="dxa"/>
            <w:vAlign w:val="center"/>
          </w:tcPr>
          <w:p>
            <w:pPr>
              <w:spacing w:line="360" w:lineRule="exact"/>
              <w:ind w:firstLine="420" w:firstLineChars="200"/>
              <w:jc w:val="left"/>
              <w:rPr>
                <w:rFonts w:ascii="Times New Roman" w:hAnsi="Times New Roman"/>
                <w:szCs w:val="21"/>
              </w:rPr>
            </w:pPr>
            <w:r>
              <w:rPr>
                <w:rFonts w:ascii="Times New Roman" w:hAnsi="Times New Roman"/>
                <w:szCs w:val="21"/>
              </w:rPr>
              <w:t>本课程4学分，课内学时72学时，统设必修，开设一学期。</w:t>
            </w:r>
          </w:p>
          <w:p>
            <w:pPr>
              <w:spacing w:line="360" w:lineRule="exact"/>
              <w:ind w:firstLine="420" w:firstLineChars="200"/>
              <w:rPr>
                <w:rFonts w:ascii="Times New Roman" w:hAnsi="Times New Roman"/>
                <w:szCs w:val="21"/>
              </w:rPr>
            </w:pPr>
            <w:r>
              <w:rPr>
                <w:rFonts w:hint="eastAsia" w:ascii="Times New Roman" w:hAnsi="Times New Roman"/>
                <w:szCs w:val="21"/>
              </w:rPr>
              <w:t>通过本课程的学习，使学生了解和掌握机构构造、运动、受力和机械效率以及按给定的运动要求和力学条件选择机构类型和设计其主要尺寸；掌握和了解机械零件的工作原理、特点、失效形式、选用和计算方法；为后续课程提供必需的机构和机械零件的基本知识；同时培养学生运用标准、手册进行一般参数的通用零件和简单机械装置设计的初步能力。</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4</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工程</w:t>
            </w:r>
          </w:p>
          <w:p>
            <w:pPr>
              <w:spacing w:line="276" w:lineRule="auto"/>
              <w:jc w:val="center"/>
              <w:rPr>
                <w:rFonts w:ascii="Times New Roman" w:hAnsi="Times New Roman"/>
                <w:szCs w:val="21"/>
              </w:rPr>
            </w:pPr>
            <w:r>
              <w:rPr>
                <w:rFonts w:ascii="Times New Roman" w:hAnsi="Times New Roman"/>
                <w:szCs w:val="21"/>
              </w:rPr>
              <w:t>力学</w:t>
            </w:r>
          </w:p>
        </w:tc>
        <w:tc>
          <w:tcPr>
            <w:tcW w:w="6153" w:type="dxa"/>
            <w:vAlign w:val="center"/>
          </w:tcPr>
          <w:p>
            <w:pPr>
              <w:spacing w:line="360" w:lineRule="exact"/>
              <w:ind w:firstLine="420" w:firstLineChars="200"/>
              <w:jc w:val="left"/>
              <w:rPr>
                <w:rFonts w:ascii="Times New Roman" w:hAnsi="Times New Roman"/>
                <w:szCs w:val="21"/>
              </w:rPr>
            </w:pPr>
            <w:r>
              <w:rPr>
                <w:rFonts w:ascii="Times New Roman" w:hAnsi="Times New Roman"/>
                <w:szCs w:val="21"/>
              </w:rPr>
              <w:t>本课程5学分，课内学时90学时，统设必修，开设一学期。</w:t>
            </w:r>
          </w:p>
          <w:p>
            <w:pPr>
              <w:spacing w:line="360" w:lineRule="exact"/>
              <w:ind w:firstLine="420" w:firstLineChars="200"/>
              <w:rPr>
                <w:rFonts w:ascii="Times New Roman" w:hAnsi="Times New Roman"/>
                <w:szCs w:val="21"/>
              </w:rPr>
            </w:pPr>
            <w:r>
              <w:rPr>
                <w:rFonts w:ascii="Times New Roman" w:hAnsi="Times New Roman"/>
                <w:szCs w:val="21"/>
              </w:rPr>
              <w:t>通过本课程的学习，使学生了解质点、质点系和刚体机械运动（包括平衡）的基本规律及其研究方法，对构件的强度、刚度和稳定性问题有明确的基本概念，必要的基础知识和熟练的计算能力，学会应用工程力学的基本理论和方法分析与解决一些简单的工程实际问题。</w:t>
            </w:r>
          </w:p>
          <w:p>
            <w:pPr>
              <w:spacing w:line="360" w:lineRule="exact"/>
              <w:ind w:firstLine="420" w:firstLineChars="200"/>
              <w:rPr>
                <w:rFonts w:ascii="Times New Roman" w:hAnsi="Times New Roman"/>
                <w:szCs w:val="21"/>
              </w:rPr>
            </w:pPr>
            <w:r>
              <w:rPr>
                <w:rFonts w:ascii="Times New Roman" w:hAnsi="Times New Roman"/>
                <w:szCs w:val="21"/>
              </w:rPr>
              <w:t>本课程的主要内容：工程力学课程包括理论力学和材料力学两部分。理论力学研究质点系和刚体系统机械运动（包括平衡）的基本规律，主要讲述物体的受力分析、力系简化和物体及物体系统的平衡，点和刚体的运动学分析，质点与质点系的动力学分析的研究方法。材料力学的主要任务是在满足强度、刚度、稳定性的要求下，为构件工程设计提供必要的理论基础和计算方法。</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5</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4"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矿井</w:t>
            </w:r>
          </w:p>
          <w:p>
            <w:pPr>
              <w:spacing w:line="276" w:lineRule="auto"/>
              <w:jc w:val="center"/>
              <w:rPr>
                <w:rFonts w:ascii="Times New Roman" w:hAnsi="Times New Roman"/>
                <w:szCs w:val="21"/>
              </w:rPr>
            </w:pPr>
            <w:r>
              <w:rPr>
                <w:rFonts w:ascii="Times New Roman" w:hAnsi="Times New Roman"/>
                <w:szCs w:val="21"/>
              </w:rPr>
              <w:t>测量</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本课程3学分，课内学时54学时，统设必修，开设一学期。</w:t>
            </w:r>
          </w:p>
          <w:p>
            <w:pPr>
              <w:spacing w:line="360" w:lineRule="exact"/>
              <w:ind w:firstLine="420" w:firstLineChars="200"/>
              <w:rPr>
                <w:rFonts w:ascii="Times New Roman" w:hAnsi="Times New Roman"/>
                <w:szCs w:val="21"/>
              </w:rPr>
            </w:pPr>
            <w:r>
              <w:rPr>
                <w:rFonts w:ascii="Times New Roman" w:hAnsi="Times New Roman"/>
                <w:szCs w:val="21"/>
              </w:rPr>
              <w:t>通过本课程的学习，使学生掌握测量学的基本知识、基本理论及测量各种要素（高差、角度和距离）的基本方法，并理解矿山上的常用的主要的测量工作方法。还应熟悉各种常规测量仪器及了解现代高新测量技术，并具有灵活运用测量基本知识、基本理论和基本方法于实际的测绘、测设工作的能力。</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3</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4"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矿图识读与CAD应用</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本课程3学分，课内学时54学时，统设选修，开设一学期。</w:t>
            </w:r>
          </w:p>
          <w:p>
            <w:pPr>
              <w:spacing w:line="360" w:lineRule="exact"/>
              <w:ind w:firstLine="420" w:firstLineChars="200"/>
              <w:rPr>
                <w:rFonts w:ascii="Times New Roman" w:hAnsi="Times New Roman"/>
                <w:szCs w:val="21"/>
              </w:rPr>
            </w:pPr>
            <w:r>
              <w:rPr>
                <w:rFonts w:ascii="Times New Roman" w:hAnsi="Times New Roman"/>
                <w:szCs w:val="21"/>
              </w:rPr>
              <w:t>通过本课程的学习，使学生能够掌握矿图基本知识和常用矿图内容，掌握CAD绘图技巧，能熟练识图并利用CAD技术绘制矿图。</w:t>
            </w:r>
          </w:p>
          <w:p>
            <w:pPr>
              <w:spacing w:line="360" w:lineRule="exact"/>
              <w:ind w:firstLine="420" w:firstLineChars="200"/>
              <w:rPr>
                <w:rFonts w:ascii="Times New Roman" w:hAnsi="Times New Roman"/>
                <w:szCs w:val="21"/>
              </w:rPr>
            </w:pPr>
            <w:r>
              <w:rPr>
                <w:rFonts w:ascii="Times New Roman" w:hAnsi="Times New Roman"/>
                <w:szCs w:val="21"/>
              </w:rPr>
              <w:t>本课程的主要内容:矿图绘制的基本知识、平面与标高投影、地形图、生产矿井地质图及生产基本图、生产系统图；计算机绘图基本知识、采矿工程图的绘制。</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3</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3"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矿山环境保护</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本课程2学分，课内学时36学时，统设选修，开设一学期。</w:t>
            </w:r>
          </w:p>
          <w:p>
            <w:pPr>
              <w:spacing w:line="360" w:lineRule="exact"/>
              <w:ind w:firstLine="420" w:firstLineChars="200"/>
              <w:rPr>
                <w:rFonts w:ascii="Times New Roman" w:hAnsi="Times New Roman"/>
                <w:szCs w:val="21"/>
              </w:rPr>
            </w:pPr>
            <w:r>
              <w:rPr>
                <w:rFonts w:ascii="Times New Roman" w:hAnsi="Times New Roman"/>
                <w:szCs w:val="21"/>
              </w:rPr>
              <w:t>通过本课程的学习，使学生了解环境科学的产生背景及其要解决的当前人类所面临的重大资源和环境问题，掌握各种类型的矿山环境污染物及其防治技术；使学生能在解决实际工程问题时综合考虑对环境的影响及资源的充分利用，为国家节约投资，降低生产成本和能耗，减少自然资源的开采，维持生态平衡，最终为实现经济的可持续发展战略奠定基础。</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2</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1" w:hRule="atLeast"/>
        </w:trPr>
        <w:tc>
          <w:tcPr>
            <w:tcW w:w="704" w:type="dxa"/>
            <w:vMerge w:val="restart"/>
            <w:vAlign w:val="center"/>
          </w:tcPr>
          <w:p>
            <w:pPr>
              <w:spacing w:line="280" w:lineRule="exact"/>
              <w:jc w:val="center"/>
              <w:rPr>
                <w:rFonts w:ascii="Times New Roman" w:hAnsi="Times New Roman"/>
                <w:b/>
                <w:szCs w:val="21"/>
              </w:rPr>
            </w:pPr>
            <w:r>
              <w:rPr>
                <w:rFonts w:ascii="Times New Roman" w:hAnsi="Times New Roman"/>
                <w:b/>
                <w:szCs w:val="21"/>
              </w:rPr>
              <w:t>专</w:t>
            </w:r>
          </w:p>
          <w:p>
            <w:pPr>
              <w:spacing w:line="280" w:lineRule="exact"/>
              <w:jc w:val="center"/>
              <w:rPr>
                <w:rFonts w:ascii="Times New Roman" w:hAnsi="Times New Roman"/>
                <w:b/>
                <w:szCs w:val="21"/>
              </w:rPr>
            </w:pPr>
            <w:r>
              <w:rPr>
                <w:rFonts w:ascii="Times New Roman" w:hAnsi="Times New Roman"/>
                <w:b/>
                <w:szCs w:val="21"/>
              </w:rPr>
              <w:t>业</w:t>
            </w:r>
          </w:p>
          <w:p>
            <w:pPr>
              <w:spacing w:line="280" w:lineRule="exact"/>
              <w:jc w:val="center"/>
              <w:rPr>
                <w:rFonts w:ascii="Times New Roman" w:hAnsi="Times New Roman"/>
                <w:b/>
                <w:szCs w:val="21"/>
              </w:rPr>
            </w:pPr>
            <w:r>
              <w:rPr>
                <w:rFonts w:ascii="Times New Roman" w:hAnsi="Times New Roman"/>
                <w:b/>
                <w:szCs w:val="21"/>
              </w:rPr>
              <w:t>核</w:t>
            </w:r>
          </w:p>
          <w:p>
            <w:pPr>
              <w:spacing w:line="280" w:lineRule="exact"/>
              <w:jc w:val="center"/>
              <w:rPr>
                <w:rFonts w:ascii="Times New Roman" w:hAnsi="Times New Roman"/>
                <w:b/>
                <w:szCs w:val="21"/>
              </w:rPr>
            </w:pPr>
            <w:r>
              <w:rPr>
                <w:rFonts w:ascii="Times New Roman" w:hAnsi="Times New Roman"/>
                <w:b/>
                <w:szCs w:val="21"/>
              </w:rPr>
              <w:t>心</w:t>
            </w:r>
          </w:p>
          <w:p>
            <w:pPr>
              <w:spacing w:line="280" w:lineRule="exact"/>
              <w:jc w:val="center"/>
              <w:rPr>
                <w:rFonts w:ascii="Times New Roman" w:hAnsi="Times New Roman"/>
                <w:b/>
                <w:szCs w:val="21"/>
              </w:rPr>
            </w:pPr>
            <w:r>
              <w:rPr>
                <w:rFonts w:ascii="Times New Roman" w:hAnsi="Times New Roman"/>
                <w:b/>
                <w:szCs w:val="21"/>
              </w:rPr>
              <w:t>课</w:t>
            </w:r>
          </w:p>
          <w:p>
            <w:pPr>
              <w:spacing w:line="280" w:lineRule="exact"/>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Segoe UI Symbol" w:hAnsi="Segoe UI Symbol" w:cs="Segoe UI Symbol"/>
              </w:rPr>
              <w:t>★</w:t>
            </w:r>
            <w:r>
              <w:rPr>
                <w:rFonts w:ascii="Times New Roman" w:hAnsi="Times New Roman"/>
                <w:szCs w:val="21"/>
              </w:rPr>
              <w:t>井巷工程（专）</w:t>
            </w:r>
          </w:p>
        </w:tc>
        <w:tc>
          <w:tcPr>
            <w:tcW w:w="6153" w:type="dxa"/>
            <w:vAlign w:val="center"/>
          </w:tcPr>
          <w:p>
            <w:pPr>
              <w:spacing w:line="360" w:lineRule="exact"/>
              <w:ind w:firstLine="420" w:firstLineChars="200"/>
              <w:rPr>
                <w:rFonts w:ascii="宋体" w:hAnsi="宋体"/>
                <w:szCs w:val="21"/>
              </w:rPr>
            </w:pPr>
            <w:r>
              <w:rPr>
                <w:rFonts w:hint="eastAsia" w:ascii="宋体" w:hAnsi="宋体"/>
                <w:szCs w:val="21"/>
              </w:rPr>
              <w:t>本课程3学分，课内学时54学时，开设一学期。</w:t>
            </w:r>
          </w:p>
          <w:p>
            <w:pPr>
              <w:spacing w:line="360" w:lineRule="exact"/>
              <w:ind w:firstLine="420" w:firstLineChars="200"/>
              <w:rPr>
                <w:rFonts w:ascii="宋体" w:hAnsi="宋体"/>
                <w:szCs w:val="21"/>
              </w:rPr>
            </w:pPr>
            <w:r>
              <w:rPr>
                <w:rFonts w:hint="eastAsia" w:ascii="宋体" w:hAnsi="宋体"/>
                <w:szCs w:val="21"/>
              </w:rPr>
              <w:t>本课程是专业课。它是一门综合性的施工课，本课程对应“爆破技术”、“井筒施工”、“巷道施工”3个认证单元，按认证单元中知识、技能、能力的要求，来组织策划课程内容。</w:t>
            </w:r>
          </w:p>
          <w:p>
            <w:pPr>
              <w:spacing w:line="360" w:lineRule="exact"/>
              <w:ind w:firstLine="420" w:firstLineChars="200"/>
              <w:rPr>
                <w:rFonts w:ascii="Times New Roman" w:hAnsi="Times New Roman"/>
                <w:szCs w:val="21"/>
              </w:rPr>
            </w:pPr>
            <w:r>
              <w:rPr>
                <w:rFonts w:hint="eastAsia" w:ascii="宋体" w:hAnsi="宋体"/>
                <w:szCs w:val="21"/>
              </w:rPr>
              <w:t>通过本课程的学习，使学生了解和掌握</w:t>
            </w:r>
            <w:r>
              <w:fldChar w:fldCharType="begin"/>
            </w:r>
            <w:r>
              <w:instrText xml:space="preserve"> HYPERLINK "http://baike.baidu.com/subview/3846457/3846457.htm" \t "_blank" </w:instrText>
            </w:r>
            <w:r>
              <w:fldChar w:fldCharType="separate"/>
            </w:r>
            <w:r>
              <w:rPr>
                <w:rFonts w:ascii="宋体" w:hAnsi="宋体"/>
              </w:rPr>
              <w:t>矿井建设</w:t>
            </w:r>
            <w:r>
              <w:rPr>
                <w:rFonts w:ascii="宋体" w:hAnsi="宋体"/>
              </w:rPr>
              <w:fldChar w:fldCharType="end"/>
            </w:r>
            <w:r>
              <w:rPr>
                <w:rFonts w:ascii="宋体" w:hAnsi="宋体"/>
                <w:szCs w:val="21"/>
              </w:rPr>
              <w:t>方面的基本理论和基础知识，</w:t>
            </w:r>
            <w:r>
              <w:rPr>
                <w:rFonts w:hint="eastAsia" w:ascii="宋体" w:hAnsi="宋体"/>
                <w:szCs w:val="21"/>
              </w:rPr>
              <w:t>掌握</w:t>
            </w:r>
            <w:r>
              <w:rPr>
                <w:rFonts w:ascii="宋体" w:hAnsi="宋体"/>
                <w:szCs w:val="21"/>
              </w:rPr>
              <w:t>矿山井巷的设计方法及施工技术。</w:t>
            </w:r>
            <w:r>
              <w:rPr>
                <w:rFonts w:hint="eastAsia" w:ascii="宋体" w:hAnsi="宋体"/>
                <w:szCs w:val="21"/>
              </w:rPr>
              <w:t>学习</w:t>
            </w:r>
            <w:r>
              <w:rPr>
                <w:rFonts w:ascii="宋体" w:hAnsi="宋体"/>
                <w:szCs w:val="21"/>
              </w:rPr>
              <w:t>内容包括平巷、巷道交岔点、</w:t>
            </w:r>
            <w:r>
              <w:fldChar w:fldCharType="begin"/>
            </w:r>
            <w:r>
              <w:instrText xml:space="preserve"> HYPERLINK "http://baike.baidu.com/subview/282258/282258.htm" \t "_blank" </w:instrText>
            </w:r>
            <w:r>
              <w:fldChar w:fldCharType="separate"/>
            </w:r>
            <w:r>
              <w:rPr>
                <w:rFonts w:ascii="宋体" w:hAnsi="宋体"/>
              </w:rPr>
              <w:t>竖井</w:t>
            </w:r>
            <w:r>
              <w:rPr>
                <w:rFonts w:ascii="宋体" w:hAnsi="宋体"/>
              </w:rPr>
              <w:fldChar w:fldCharType="end"/>
            </w:r>
            <w:r>
              <w:rPr>
                <w:rFonts w:ascii="宋体" w:hAnsi="宋体"/>
                <w:szCs w:val="21"/>
              </w:rPr>
              <w:t>、</w:t>
            </w:r>
            <w:r>
              <w:fldChar w:fldCharType="begin"/>
            </w:r>
            <w:r>
              <w:instrText xml:space="preserve"> HYPERLINK "http://baike.baidu.com/subview/3758458/3758458.htm" \t "_blank" </w:instrText>
            </w:r>
            <w:r>
              <w:fldChar w:fldCharType="separate"/>
            </w:r>
            <w:r>
              <w:rPr>
                <w:rFonts w:ascii="宋体" w:hAnsi="宋体"/>
              </w:rPr>
              <w:t>井底车场</w:t>
            </w:r>
            <w:r>
              <w:rPr>
                <w:rFonts w:ascii="宋体" w:hAnsi="宋体"/>
              </w:rPr>
              <w:fldChar w:fldCharType="end"/>
            </w:r>
            <w:r>
              <w:rPr>
                <w:rFonts w:ascii="宋体" w:hAnsi="宋体"/>
                <w:szCs w:val="21"/>
              </w:rPr>
              <w:t>、斜井、天（溜）井、硐室的设计与施工，</w:t>
            </w:r>
            <w:r>
              <w:fldChar w:fldCharType="begin"/>
            </w:r>
            <w:r>
              <w:instrText xml:space="preserve"> HYPERLINK "http://baike.baidu.com/subview/3846599/3846599.htm" \t "_blank" </w:instrText>
            </w:r>
            <w:r>
              <w:fldChar w:fldCharType="separate"/>
            </w:r>
            <w:r>
              <w:rPr>
                <w:rFonts w:ascii="宋体" w:hAnsi="宋体"/>
              </w:rPr>
              <w:t>支护</w:t>
            </w:r>
            <w:r>
              <w:rPr>
                <w:rFonts w:ascii="宋体" w:hAnsi="宋体"/>
              </w:rPr>
              <w:fldChar w:fldCharType="end"/>
            </w:r>
            <w:r>
              <w:rPr>
                <w:rFonts w:ascii="宋体" w:hAnsi="宋体"/>
                <w:szCs w:val="21"/>
              </w:rPr>
              <w:t>工程，复杂地质条件下的</w:t>
            </w:r>
            <w:r>
              <w:fldChar w:fldCharType="begin"/>
            </w:r>
            <w:r>
              <w:instrText xml:space="preserve"> HYPERLINK "http://baike.baidu.com/view/8424914.htm" \t "_blank" </w:instrText>
            </w:r>
            <w:r>
              <w:fldChar w:fldCharType="separate"/>
            </w:r>
            <w:r>
              <w:rPr>
                <w:rFonts w:ascii="宋体" w:hAnsi="宋体"/>
              </w:rPr>
              <w:t>巷道施工</w:t>
            </w:r>
            <w:r>
              <w:rPr>
                <w:rFonts w:ascii="宋体" w:hAnsi="宋体"/>
              </w:rPr>
              <w:fldChar w:fldCharType="end"/>
            </w:r>
            <w:r>
              <w:rPr>
                <w:rFonts w:ascii="宋体" w:hAnsi="宋体"/>
                <w:szCs w:val="21"/>
              </w:rPr>
              <w:t>，劳动施工组织。</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3</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Segoe UI Symbol" w:hAnsi="Segoe UI Symbol" w:cs="Segoe UI Symbol"/>
              </w:rPr>
              <w:t>★</w:t>
            </w:r>
            <w:r>
              <w:rPr>
                <w:rFonts w:ascii="Times New Roman" w:hAnsi="Times New Roman"/>
                <w:szCs w:val="21"/>
              </w:rPr>
              <w:t>煤矿开采（专）</w:t>
            </w:r>
          </w:p>
        </w:tc>
        <w:tc>
          <w:tcPr>
            <w:tcW w:w="6153" w:type="dxa"/>
            <w:vAlign w:val="center"/>
          </w:tcPr>
          <w:p>
            <w:pPr>
              <w:spacing w:line="360" w:lineRule="exact"/>
              <w:ind w:firstLine="420" w:firstLineChars="200"/>
              <w:rPr>
                <w:rFonts w:ascii="宋体" w:hAnsi="宋体"/>
                <w:szCs w:val="21"/>
              </w:rPr>
            </w:pPr>
            <w:r>
              <w:rPr>
                <w:rFonts w:hint="eastAsia" w:ascii="宋体" w:hAnsi="宋体"/>
                <w:szCs w:val="21"/>
              </w:rPr>
              <w:t>本课程5学分，课内学时90学时，开设一学期。</w:t>
            </w:r>
          </w:p>
          <w:p>
            <w:pPr>
              <w:spacing w:line="360" w:lineRule="exact"/>
              <w:ind w:firstLine="420" w:firstLineChars="200"/>
              <w:rPr>
                <w:rFonts w:ascii="宋体" w:hAnsi="宋体"/>
                <w:szCs w:val="21"/>
              </w:rPr>
            </w:pPr>
            <w:r>
              <w:rPr>
                <w:rFonts w:hint="eastAsia" w:ascii="宋体" w:hAnsi="宋体"/>
                <w:szCs w:val="21"/>
              </w:rPr>
              <w:t>本课程对应“井巷开拓”、“采区准备”、“回采工艺”3个认证单元，按认证单元中知识、技能、</w:t>
            </w:r>
            <w:r>
              <w:rPr>
                <w:rFonts w:hint="eastAsia" w:ascii="宋体" w:hAnsi="宋体"/>
                <w:spacing w:val="-8"/>
                <w:szCs w:val="21"/>
              </w:rPr>
              <w:t>能力的要求，来组织策划课程内容。</w:t>
            </w:r>
          </w:p>
          <w:p>
            <w:pPr>
              <w:spacing w:line="360" w:lineRule="exact"/>
              <w:ind w:firstLine="420" w:firstLineChars="200"/>
              <w:rPr>
                <w:rFonts w:ascii="Times New Roman" w:hAnsi="Times New Roman"/>
                <w:szCs w:val="21"/>
              </w:rPr>
            </w:pPr>
            <w:r>
              <w:rPr>
                <w:rFonts w:hint="eastAsia" w:ascii="宋体" w:hAnsi="宋体"/>
                <w:szCs w:val="21"/>
              </w:rPr>
              <w:t>课程的主要任务是使学生掌握煤矿地下开采方面的井田开拓、采区巷道布置、采煤方法及回采工艺，以及矿井开采设计、开拓延深与技术改造等方面的基本理论和基本知识，并获得必要的基本技能训练，同时注意培养学生分析问题与解决问题的综合能力、实事求是的科学态度和严谨细致的工作作风。</w:t>
            </w:r>
          </w:p>
        </w:tc>
        <w:tc>
          <w:tcPr>
            <w:tcW w:w="448" w:type="dxa"/>
            <w:vAlign w:val="center"/>
          </w:tcPr>
          <w:p>
            <w:pPr>
              <w:spacing w:line="276" w:lineRule="auto"/>
              <w:jc w:val="center"/>
              <w:rPr>
                <w:rFonts w:ascii="Times New Roman" w:hAnsi="Times New Roman"/>
                <w:szCs w:val="21"/>
              </w:rPr>
            </w:pPr>
            <w:r>
              <w:rPr>
                <w:rFonts w:hint="eastAsia" w:ascii="Times New Roman" w:hAnsi="Times New Roman"/>
                <w:szCs w:val="21"/>
              </w:rPr>
              <w:t>5</w:t>
            </w:r>
          </w:p>
        </w:tc>
        <w:tc>
          <w:tcPr>
            <w:tcW w:w="675" w:type="dxa"/>
            <w:vAlign w:val="center"/>
          </w:tcPr>
          <w:p>
            <w:pPr>
              <w:spacing w:line="276" w:lineRule="auto"/>
              <w:jc w:val="center"/>
              <w:rPr>
                <w:rFonts w:ascii="Times New Roman" w:hAnsi="Times New Roman"/>
                <w:szCs w:val="21"/>
              </w:rPr>
            </w:pPr>
            <w:r>
              <w:rPr>
                <w:rFonts w:hint="eastAsia" w:ascii="Times New Roman" w:hAnsi="Times New Roman"/>
                <w:szCs w:val="21"/>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trPr>
        <w:tc>
          <w:tcPr>
            <w:tcW w:w="704" w:type="dxa"/>
            <w:vMerge w:val="restart"/>
            <w:vAlign w:val="center"/>
          </w:tcPr>
          <w:p>
            <w:pPr>
              <w:spacing w:line="280" w:lineRule="exact"/>
              <w:jc w:val="center"/>
              <w:rPr>
                <w:rFonts w:ascii="Times New Roman" w:hAnsi="Times New Roman"/>
                <w:b/>
                <w:szCs w:val="21"/>
              </w:rPr>
            </w:pPr>
            <w:r>
              <w:rPr>
                <w:rFonts w:ascii="Times New Roman" w:hAnsi="Times New Roman"/>
                <w:b/>
                <w:szCs w:val="21"/>
              </w:rPr>
              <w:t>专</w:t>
            </w:r>
          </w:p>
          <w:p>
            <w:pPr>
              <w:spacing w:line="280" w:lineRule="exact"/>
              <w:jc w:val="center"/>
              <w:rPr>
                <w:rFonts w:ascii="Times New Roman" w:hAnsi="Times New Roman"/>
                <w:b/>
                <w:szCs w:val="21"/>
              </w:rPr>
            </w:pPr>
            <w:r>
              <w:rPr>
                <w:rFonts w:ascii="Times New Roman" w:hAnsi="Times New Roman"/>
                <w:b/>
                <w:szCs w:val="21"/>
              </w:rPr>
              <w:t>业</w:t>
            </w:r>
          </w:p>
          <w:p>
            <w:pPr>
              <w:spacing w:line="280" w:lineRule="exact"/>
              <w:jc w:val="center"/>
              <w:rPr>
                <w:rFonts w:ascii="Times New Roman" w:hAnsi="Times New Roman"/>
                <w:b/>
                <w:szCs w:val="21"/>
              </w:rPr>
            </w:pPr>
            <w:r>
              <w:rPr>
                <w:rFonts w:ascii="Times New Roman" w:hAnsi="Times New Roman"/>
                <w:b/>
                <w:szCs w:val="21"/>
              </w:rPr>
              <w:t>核</w:t>
            </w:r>
          </w:p>
          <w:p>
            <w:pPr>
              <w:spacing w:line="280" w:lineRule="exact"/>
              <w:jc w:val="center"/>
              <w:rPr>
                <w:rFonts w:ascii="Times New Roman" w:hAnsi="Times New Roman"/>
                <w:b/>
                <w:szCs w:val="21"/>
              </w:rPr>
            </w:pPr>
            <w:r>
              <w:rPr>
                <w:rFonts w:ascii="Times New Roman" w:hAnsi="Times New Roman"/>
                <w:b/>
                <w:szCs w:val="21"/>
              </w:rPr>
              <w:t>心</w:t>
            </w:r>
          </w:p>
          <w:p>
            <w:pPr>
              <w:spacing w:line="280" w:lineRule="exact"/>
              <w:jc w:val="center"/>
              <w:rPr>
                <w:rFonts w:ascii="Times New Roman" w:hAnsi="Times New Roman"/>
                <w:b/>
                <w:szCs w:val="21"/>
              </w:rPr>
            </w:pPr>
            <w:r>
              <w:rPr>
                <w:rFonts w:ascii="Times New Roman" w:hAnsi="Times New Roman"/>
                <w:b/>
                <w:szCs w:val="21"/>
              </w:rPr>
              <w:t>课</w:t>
            </w:r>
          </w:p>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煤矿电工学（专）</w:t>
            </w:r>
          </w:p>
        </w:tc>
        <w:tc>
          <w:tcPr>
            <w:tcW w:w="6153" w:type="dxa"/>
            <w:vAlign w:val="center"/>
          </w:tcPr>
          <w:p>
            <w:pPr>
              <w:spacing w:line="360" w:lineRule="exact"/>
              <w:ind w:firstLine="420" w:firstLineChars="200"/>
              <w:jc w:val="left"/>
              <w:rPr>
                <w:rFonts w:ascii="Times New Roman" w:hAnsi="Times New Roman"/>
                <w:szCs w:val="21"/>
              </w:rPr>
            </w:pPr>
            <w:r>
              <w:rPr>
                <w:rFonts w:ascii="Times New Roman" w:hAnsi="Times New Roman"/>
                <w:szCs w:val="21"/>
              </w:rPr>
              <w:t>本课程3学分，课内学时54学时，统设必修，开设一学期。</w:t>
            </w:r>
          </w:p>
          <w:p>
            <w:pPr>
              <w:spacing w:line="360" w:lineRule="exact"/>
              <w:ind w:firstLine="420" w:firstLineChars="200"/>
              <w:rPr>
                <w:rFonts w:ascii="Times New Roman" w:hAnsi="Times New Roman"/>
                <w:szCs w:val="21"/>
              </w:rPr>
            </w:pPr>
            <w:r>
              <w:rPr>
                <w:rFonts w:ascii="Times New Roman" w:hAnsi="Times New Roman"/>
                <w:szCs w:val="21"/>
              </w:rPr>
              <w:t>本课程对应“矿井高压供电系统操作维护”、“矿井低压供电系统操作维护”、“采区供电系统操作维护”3个认证单元，按认证单元中知识、技能、能力的要求，来组织策划课程内容。</w:t>
            </w:r>
          </w:p>
          <w:p>
            <w:pPr>
              <w:spacing w:line="360" w:lineRule="exact"/>
              <w:ind w:firstLine="420" w:firstLineChars="200"/>
              <w:rPr>
                <w:rFonts w:ascii="Times New Roman" w:hAnsi="Times New Roman"/>
                <w:szCs w:val="21"/>
              </w:rPr>
            </w:pPr>
            <w:r>
              <w:rPr>
                <w:rFonts w:ascii="Times New Roman" w:hAnsi="Times New Roman"/>
                <w:szCs w:val="21"/>
              </w:rPr>
              <w:t>通过本课程的学习，了解煤矿电工技术及电气安全的最新进展和发展动态，使学生理解煤矿电工技术及安全的基本理论、知识和技能，初步了解矿井供电系统的理论知识和相关维护知识，培养学生具有一定的实践动手能力和应用能力。</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3</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5"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Segoe UI Symbol" w:hAnsi="Segoe UI Symbol" w:cs="Segoe UI Symbol"/>
              </w:rPr>
              <w:t>★</w:t>
            </w:r>
            <w:r>
              <w:rPr>
                <w:rFonts w:ascii="Times New Roman" w:hAnsi="Times New Roman"/>
                <w:szCs w:val="21"/>
              </w:rPr>
              <w:t>矿山压力及岩层控制（专）</w:t>
            </w:r>
          </w:p>
        </w:tc>
        <w:tc>
          <w:tcPr>
            <w:tcW w:w="6153" w:type="dxa"/>
            <w:vAlign w:val="center"/>
          </w:tcPr>
          <w:p>
            <w:pPr>
              <w:spacing w:line="360" w:lineRule="exact"/>
              <w:ind w:firstLine="420" w:firstLineChars="200"/>
              <w:rPr>
                <w:rFonts w:ascii="宋体" w:hAnsi="宋体"/>
                <w:szCs w:val="21"/>
              </w:rPr>
            </w:pPr>
            <w:r>
              <w:rPr>
                <w:rFonts w:hint="eastAsia" w:ascii="宋体" w:hAnsi="宋体"/>
                <w:szCs w:val="21"/>
              </w:rPr>
              <w:t>本课程3学分，课内学时54学时，开设一学期。</w:t>
            </w:r>
          </w:p>
          <w:p>
            <w:pPr>
              <w:spacing w:line="360" w:lineRule="exact"/>
              <w:ind w:firstLine="420" w:firstLineChars="200"/>
              <w:rPr>
                <w:rFonts w:ascii="宋体" w:hAnsi="宋体"/>
                <w:szCs w:val="21"/>
              </w:rPr>
            </w:pPr>
            <w:r>
              <w:rPr>
                <w:rFonts w:hint="eastAsia" w:ascii="宋体" w:hAnsi="宋体"/>
                <w:szCs w:val="21"/>
              </w:rPr>
              <w:t>本课程对应“岩层性质”、“围岩控制”、“矿压观测”3个认证单元，按认证单元中知识、技能、能力的要求，来组织策划课程内容。</w:t>
            </w:r>
          </w:p>
          <w:p>
            <w:pPr>
              <w:spacing w:line="360" w:lineRule="exact"/>
              <w:ind w:firstLine="420" w:firstLineChars="200"/>
              <w:rPr>
                <w:rFonts w:ascii="宋体" w:hAnsi="宋体"/>
                <w:szCs w:val="21"/>
              </w:rPr>
            </w:pPr>
            <w:r>
              <w:rPr>
                <w:rFonts w:hint="eastAsia" w:ascii="宋体" w:hAnsi="宋体"/>
                <w:szCs w:val="21"/>
              </w:rPr>
              <w:t>通过本课程的学习，一方面使学生掌握有关矿压观测与控制的基本概念、巷道围岩变形、应力、破坏的分布规律、采场周围的应力分布状态、采场顶底板的变形破坏规律、工作面来压规律及确定方法、巷道与采场的围岩控制理论与控制方法、煤矿动压现象、矿山压力测试技术；另一方面使学生能够根据具体条件，进行采场和巷道围岩控制设计。解决有关矿山压力控制方面的问题。</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3</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7"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采掘</w:t>
            </w:r>
          </w:p>
          <w:p>
            <w:pPr>
              <w:spacing w:line="276" w:lineRule="auto"/>
              <w:jc w:val="center"/>
              <w:rPr>
                <w:rFonts w:ascii="Times New Roman" w:hAnsi="Times New Roman"/>
                <w:szCs w:val="21"/>
              </w:rPr>
            </w:pPr>
            <w:r>
              <w:rPr>
                <w:rFonts w:ascii="Times New Roman" w:hAnsi="Times New Roman"/>
                <w:szCs w:val="21"/>
              </w:rPr>
              <w:t>机械（专）</w:t>
            </w:r>
          </w:p>
        </w:tc>
        <w:tc>
          <w:tcPr>
            <w:tcW w:w="6153" w:type="dxa"/>
            <w:vAlign w:val="center"/>
          </w:tcPr>
          <w:p>
            <w:pPr>
              <w:spacing w:line="360" w:lineRule="exact"/>
              <w:ind w:firstLine="420" w:firstLineChars="200"/>
              <w:jc w:val="left"/>
              <w:rPr>
                <w:rFonts w:ascii="Times New Roman" w:hAnsi="Times New Roman"/>
                <w:szCs w:val="21"/>
              </w:rPr>
            </w:pPr>
            <w:r>
              <w:rPr>
                <w:rFonts w:ascii="Times New Roman" w:hAnsi="Times New Roman"/>
                <w:szCs w:val="21"/>
              </w:rPr>
              <w:t>本课程3学分，课内学时54学时，统设必修，开设一学期。</w:t>
            </w:r>
          </w:p>
          <w:p>
            <w:pPr>
              <w:spacing w:line="360" w:lineRule="exact"/>
              <w:ind w:firstLine="420" w:firstLineChars="200"/>
              <w:rPr>
                <w:rFonts w:ascii="Times New Roman" w:hAnsi="Times New Roman"/>
                <w:szCs w:val="21"/>
              </w:rPr>
            </w:pPr>
            <w:r>
              <w:rPr>
                <w:rFonts w:ascii="Times New Roman" w:hAnsi="Times New Roman"/>
                <w:szCs w:val="21"/>
              </w:rPr>
              <w:t>本课程对应“煤矿采煤机械操作维护”、“煤矿掘进机械操作维护”、“煤矿支护设备操作维护”3个认证单元，按认证单元中知识、技能、能力的要求，来组织策划课程内容。</w:t>
            </w:r>
          </w:p>
          <w:p>
            <w:pPr>
              <w:spacing w:line="360" w:lineRule="exact"/>
              <w:ind w:firstLine="420" w:firstLineChars="200"/>
              <w:rPr>
                <w:rFonts w:ascii="Times New Roman" w:hAnsi="Times New Roman"/>
                <w:szCs w:val="21"/>
              </w:rPr>
            </w:pPr>
            <w:r>
              <w:rPr>
                <w:rFonts w:ascii="Times New Roman" w:hAnsi="Times New Roman"/>
                <w:szCs w:val="21"/>
              </w:rPr>
              <w:t>本课程内容包括：煤岩的物理机械性质和用于煤矿井下的滚筒式采煤机、刨煤机、连续采煤机、螺旋钻采煤机、单体液压支柱、液压支架、凿岩设备、装载机、掘进机、掘锚机组等采煤机械、支护设备、掘进机械的结构组成、工作原理、特点与适用条件。</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3</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7"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矿井运输提升（专）</w:t>
            </w:r>
          </w:p>
        </w:tc>
        <w:tc>
          <w:tcPr>
            <w:tcW w:w="6153" w:type="dxa"/>
            <w:vAlign w:val="center"/>
          </w:tcPr>
          <w:p>
            <w:pPr>
              <w:spacing w:line="360" w:lineRule="exact"/>
              <w:ind w:firstLine="420" w:firstLineChars="200"/>
              <w:jc w:val="left"/>
              <w:rPr>
                <w:rFonts w:ascii="Times New Roman" w:hAnsi="Times New Roman"/>
                <w:szCs w:val="21"/>
              </w:rPr>
            </w:pPr>
            <w:r>
              <w:rPr>
                <w:rFonts w:ascii="Times New Roman" w:hAnsi="Times New Roman"/>
                <w:szCs w:val="21"/>
              </w:rPr>
              <w:t>本课程2学分，课内学时36学时，统设必修，开设一学期。</w:t>
            </w:r>
          </w:p>
          <w:p>
            <w:pPr>
              <w:spacing w:line="360" w:lineRule="exact"/>
              <w:ind w:firstLine="420" w:firstLineChars="200"/>
              <w:rPr>
                <w:rFonts w:ascii="Times New Roman" w:hAnsi="Times New Roman"/>
                <w:szCs w:val="21"/>
              </w:rPr>
            </w:pPr>
            <w:r>
              <w:rPr>
                <w:rFonts w:ascii="Times New Roman" w:hAnsi="Times New Roman"/>
                <w:szCs w:val="21"/>
              </w:rPr>
              <w:t>本课程对应“矿井提升设备操作维护”、“煤矿运输机械操作维护”2个认证单元，按认证单元中知识、技能、能力的要求，来组织策划课程内容。</w:t>
            </w:r>
          </w:p>
          <w:p>
            <w:pPr>
              <w:spacing w:line="360" w:lineRule="exact"/>
              <w:ind w:firstLine="420" w:firstLineChars="200"/>
              <w:rPr>
                <w:rFonts w:ascii="Times New Roman" w:hAnsi="Times New Roman"/>
                <w:szCs w:val="21"/>
              </w:rPr>
            </w:pPr>
            <w:r>
              <w:rPr>
                <w:rFonts w:ascii="Times New Roman" w:hAnsi="Times New Roman"/>
                <w:szCs w:val="21"/>
              </w:rPr>
              <w:t>课程内容包括：矿井运输与矿井提升设备两部分。矿井运输部分内容有：矿山运输设备的理论计算基础、带式输送机等。矿井提升部分内容有：矿井提升设备，矿井提升系统等。</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2</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4"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矿井通风与安全</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w:t>
            </w:r>
            <w:r>
              <w:rPr>
                <w:rFonts w:hint="eastAsia" w:ascii="Times New Roman" w:hAnsi="Times New Roman"/>
                <w:szCs w:val="21"/>
              </w:rPr>
              <w:t>4</w:t>
            </w:r>
            <w:r>
              <w:rPr>
                <w:rFonts w:ascii="Times New Roman" w:hAnsi="Times New Roman"/>
                <w:szCs w:val="21"/>
              </w:rPr>
              <w:t>学分，课内学时</w:t>
            </w:r>
            <w:r>
              <w:rPr>
                <w:rFonts w:hint="eastAsia" w:ascii="Times New Roman" w:hAnsi="Times New Roman"/>
                <w:szCs w:val="21"/>
              </w:rPr>
              <w:t>72</w:t>
            </w:r>
            <w:r>
              <w:rPr>
                <w:rFonts w:ascii="Times New Roman" w:hAnsi="Times New Roman"/>
                <w:szCs w:val="21"/>
              </w:rPr>
              <w:t>学时，</w:t>
            </w:r>
            <w:r>
              <w:rPr>
                <w:rFonts w:hint="eastAsia" w:ascii="Times New Roman" w:hAnsi="Times New Roman"/>
                <w:szCs w:val="21"/>
              </w:rPr>
              <w:t>非统设选修</w:t>
            </w:r>
            <w:r>
              <w:rPr>
                <w:rFonts w:ascii="Times New Roman" w:hAnsi="Times New Roman"/>
                <w:szCs w:val="21"/>
              </w:rPr>
              <w:t>，开设一学期。</w:t>
            </w:r>
          </w:p>
          <w:p>
            <w:pPr>
              <w:spacing w:line="360" w:lineRule="exact"/>
              <w:ind w:firstLine="420" w:firstLineChars="200"/>
              <w:rPr>
                <w:rFonts w:ascii="Times New Roman" w:hAnsi="Times New Roman"/>
                <w:szCs w:val="21"/>
              </w:rPr>
            </w:pPr>
            <w:r>
              <w:rPr>
                <w:rFonts w:hint="eastAsia" w:ascii="宋体" w:hAnsi="宋体"/>
                <w:szCs w:val="21"/>
              </w:rPr>
              <w:t>本课程</w:t>
            </w:r>
            <w:r>
              <w:rPr>
                <w:rFonts w:ascii="宋体" w:hAnsi="宋体"/>
                <w:szCs w:val="21"/>
              </w:rPr>
              <w:t>主要内容是介绍煤矿井下空气的质量标准和风流流动规律，并探索控制风流稳定流动技术措施；同时对煤矿井下各种自然灾害的发生、发展、变化规律，控制井下重大事故的发生进行了系统的讲述。是在煤炭生产中彻底改善煤矿井下环境，保证煤矿生产更加安全可靠必须掌握的一门课程。</w:t>
            </w:r>
          </w:p>
        </w:tc>
        <w:tc>
          <w:tcPr>
            <w:tcW w:w="448" w:type="dxa"/>
            <w:vAlign w:val="center"/>
          </w:tcPr>
          <w:p>
            <w:pPr>
              <w:spacing w:line="276" w:lineRule="auto"/>
              <w:jc w:val="center"/>
              <w:rPr>
                <w:rFonts w:ascii="Times New Roman" w:hAnsi="Times New Roman"/>
                <w:szCs w:val="21"/>
              </w:rPr>
            </w:pPr>
            <w:r>
              <w:rPr>
                <w:rFonts w:hint="eastAsia" w:ascii="Times New Roman" w:hAnsi="Times New Roman"/>
                <w:szCs w:val="21"/>
              </w:rPr>
              <w:t>4</w:t>
            </w:r>
          </w:p>
        </w:tc>
        <w:tc>
          <w:tcPr>
            <w:tcW w:w="675" w:type="dxa"/>
            <w:vAlign w:val="center"/>
          </w:tcPr>
          <w:p>
            <w:pPr>
              <w:spacing w:line="276" w:lineRule="auto"/>
              <w:jc w:val="center"/>
              <w:rPr>
                <w:rFonts w:ascii="Times New Roman" w:hAnsi="Times New Roman"/>
                <w:szCs w:val="21"/>
              </w:rPr>
            </w:pPr>
            <w:r>
              <w:rPr>
                <w:rFonts w:hint="eastAsia" w:ascii="Times New Roman" w:hAnsi="Times New Roman"/>
                <w:szCs w:val="21"/>
              </w:rPr>
              <w:t>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4"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《煤矿安全规程》解读</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本课程3学分，课内学时54学时，非统设选修，开设一学期。</w:t>
            </w:r>
          </w:p>
          <w:p>
            <w:pPr>
              <w:spacing w:line="360" w:lineRule="exact"/>
              <w:ind w:firstLine="420" w:firstLineChars="200"/>
              <w:rPr>
                <w:rFonts w:ascii="Times New Roman" w:hAnsi="Times New Roman"/>
                <w:szCs w:val="21"/>
              </w:rPr>
            </w:pPr>
            <w:r>
              <w:rPr>
                <w:rFonts w:ascii="Times New Roman" w:hAnsi="Times New Roman"/>
                <w:szCs w:val="21"/>
              </w:rPr>
              <w:t>通过本课程的学习，使学生掌握《煤矿安全规程》里面涉及采煤、通风、机电等方面的有关规定。</w:t>
            </w:r>
          </w:p>
          <w:p>
            <w:pPr>
              <w:spacing w:line="360" w:lineRule="exact"/>
              <w:ind w:firstLine="420" w:firstLineChars="200"/>
              <w:rPr>
                <w:rFonts w:ascii="Times New Roman" w:hAnsi="Times New Roman"/>
                <w:szCs w:val="21"/>
              </w:rPr>
            </w:pPr>
            <w:r>
              <w:rPr>
                <w:rFonts w:ascii="Times New Roman" w:hAnsi="Times New Roman"/>
                <w:szCs w:val="21"/>
              </w:rPr>
              <w:t>课程内容包括：开采、通风和瓦斯、粉尘防治、通风安全监控、煤与瓦斯突出防治、防灭火、防治水、井下爆破、电气、运输、提升和空气压缩机等。</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3</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7" w:hRule="atLeast"/>
        </w:trPr>
        <w:tc>
          <w:tcPr>
            <w:tcW w:w="704" w:type="dxa"/>
            <w:vMerge w:val="restart"/>
            <w:vAlign w:val="center"/>
          </w:tcPr>
          <w:p>
            <w:pPr>
              <w:spacing w:line="280" w:lineRule="exact"/>
              <w:jc w:val="center"/>
              <w:rPr>
                <w:rFonts w:ascii="Times New Roman" w:hAnsi="Times New Roman"/>
                <w:b/>
                <w:szCs w:val="21"/>
              </w:rPr>
            </w:pPr>
            <w:r>
              <w:rPr>
                <w:rFonts w:ascii="Times New Roman" w:hAnsi="Times New Roman"/>
                <w:b/>
                <w:szCs w:val="21"/>
              </w:rPr>
              <w:t>专</w:t>
            </w:r>
          </w:p>
          <w:p>
            <w:pPr>
              <w:spacing w:line="280" w:lineRule="exact"/>
              <w:jc w:val="center"/>
              <w:rPr>
                <w:rFonts w:ascii="Times New Roman" w:hAnsi="Times New Roman"/>
                <w:b/>
                <w:szCs w:val="21"/>
              </w:rPr>
            </w:pPr>
            <w:r>
              <w:rPr>
                <w:rFonts w:ascii="Times New Roman" w:hAnsi="Times New Roman"/>
                <w:b/>
                <w:szCs w:val="21"/>
              </w:rPr>
              <w:t>业</w:t>
            </w:r>
          </w:p>
          <w:p>
            <w:pPr>
              <w:spacing w:line="280" w:lineRule="exact"/>
              <w:jc w:val="center"/>
              <w:rPr>
                <w:rFonts w:ascii="Times New Roman" w:hAnsi="Times New Roman"/>
                <w:b/>
                <w:szCs w:val="21"/>
              </w:rPr>
            </w:pPr>
            <w:r>
              <w:rPr>
                <w:rFonts w:ascii="Times New Roman" w:hAnsi="Times New Roman"/>
                <w:b/>
                <w:szCs w:val="21"/>
              </w:rPr>
              <w:t>拓</w:t>
            </w:r>
          </w:p>
          <w:p>
            <w:pPr>
              <w:spacing w:line="280" w:lineRule="exact"/>
              <w:jc w:val="center"/>
              <w:rPr>
                <w:rFonts w:ascii="Times New Roman" w:hAnsi="Times New Roman"/>
                <w:b/>
                <w:szCs w:val="21"/>
              </w:rPr>
            </w:pPr>
            <w:r>
              <w:rPr>
                <w:rFonts w:ascii="Times New Roman" w:hAnsi="Times New Roman"/>
                <w:b/>
                <w:szCs w:val="21"/>
              </w:rPr>
              <w:t>展</w:t>
            </w:r>
          </w:p>
          <w:p>
            <w:pPr>
              <w:spacing w:line="276" w:lineRule="auto"/>
              <w:jc w:val="center"/>
              <w:rPr>
                <w:rFonts w:ascii="Times New Roman" w:hAnsi="Times New Roman"/>
                <w:szCs w:val="21"/>
              </w:rPr>
            </w:pPr>
            <w:r>
              <w:rPr>
                <w:rFonts w:ascii="Times New Roman" w:hAnsi="Times New Roman"/>
                <w:b/>
                <w:szCs w:val="21"/>
              </w:rPr>
              <w:t>课</w:t>
            </w: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煤矿开采前沿讲座</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本课程2学分，课内学时36学时，非统设选修，开设一学期。</w:t>
            </w:r>
          </w:p>
          <w:p>
            <w:pPr>
              <w:spacing w:line="360" w:lineRule="exact"/>
              <w:ind w:left="210" w:leftChars="100" w:firstLine="210" w:firstLineChars="100"/>
              <w:rPr>
                <w:rFonts w:ascii="Times New Roman" w:hAnsi="Times New Roman"/>
                <w:szCs w:val="21"/>
              </w:rPr>
            </w:pPr>
            <w:r>
              <w:rPr>
                <w:rFonts w:ascii="Times New Roman" w:hAnsi="Times New Roman"/>
                <w:szCs w:val="21"/>
              </w:rPr>
              <w:t>煤炭大讲堂是中国煤炭工业协会培训中心的一档优势栏目。</w:t>
            </w:r>
          </w:p>
          <w:p>
            <w:pPr>
              <w:spacing w:line="360" w:lineRule="exact"/>
              <w:ind w:firstLine="420" w:firstLineChars="200"/>
              <w:rPr>
                <w:rFonts w:ascii="Times New Roman" w:hAnsi="Times New Roman"/>
                <w:szCs w:val="21"/>
              </w:rPr>
            </w:pPr>
            <w:r>
              <w:rPr>
                <w:rFonts w:ascii="Times New Roman" w:hAnsi="Times New Roman"/>
                <w:szCs w:val="21"/>
              </w:rPr>
              <w:t>煤矿开采专题方向包括：特厚煤层安全开采关键装备及自动化技术、综放开采顶煤放出理论与厚煤层开采围岩控制技术、薄煤层综采自动化技术及成套装备、矿井深部高地应力软岩巷道矿压控制与支护技术、“三下”采煤新技术、煤炭资源开发与环境保护协调发展技术、大型露天煤矿开采新技术等。</w:t>
            </w:r>
          </w:p>
          <w:p>
            <w:pPr>
              <w:spacing w:line="360" w:lineRule="exact"/>
              <w:ind w:firstLine="420" w:firstLineChars="200"/>
              <w:rPr>
                <w:rFonts w:ascii="Times New Roman" w:hAnsi="Times New Roman"/>
                <w:szCs w:val="21"/>
              </w:rPr>
            </w:pPr>
            <w:r>
              <w:rPr>
                <w:rFonts w:ascii="Times New Roman" w:hAnsi="Times New Roman"/>
                <w:szCs w:val="21"/>
              </w:rPr>
              <w:t>通过各个讲座的学习，使学生了解煤炭行业及本专业的最新知识和技术，开阔学生的视野，提高学生的科技创新能力。</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2</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8"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科技文献检索</w:t>
            </w:r>
          </w:p>
        </w:tc>
        <w:tc>
          <w:tcPr>
            <w:tcW w:w="6153" w:type="dxa"/>
            <w:vAlign w:val="center"/>
          </w:tcPr>
          <w:p>
            <w:pPr>
              <w:spacing w:line="360" w:lineRule="exact"/>
              <w:ind w:firstLine="420" w:firstLineChars="200"/>
              <w:rPr>
                <w:rFonts w:ascii="Times New Roman" w:hAnsi="Times New Roman"/>
                <w:szCs w:val="21"/>
              </w:rPr>
            </w:pPr>
            <w:r>
              <w:rPr>
                <w:rFonts w:hint="eastAsia" w:ascii="Times New Roman" w:hAnsi="Times New Roman"/>
                <w:szCs w:val="21"/>
              </w:rPr>
              <w:t>本课程1学分，课内学时18学时，统设选修，开设一学期。</w:t>
            </w:r>
          </w:p>
          <w:p>
            <w:pPr>
              <w:spacing w:line="360" w:lineRule="exact"/>
              <w:ind w:firstLine="420" w:firstLineChars="200"/>
              <w:rPr>
                <w:rFonts w:ascii="Times New Roman" w:hAnsi="Times New Roman"/>
                <w:szCs w:val="21"/>
              </w:rPr>
            </w:pPr>
            <w:r>
              <w:rPr>
                <w:rFonts w:hint="eastAsia" w:ascii="Times New Roman" w:hAnsi="Times New Roman"/>
                <w:szCs w:val="21"/>
              </w:rPr>
              <w:t>通过本课程的学习，使学生掌握信息检索知识，学会用手工和计算机检索的方式，能够根据实际需求灵活运用各种检索技术查询及获取所需要的文献信息，提高学习者自学能力和解决问题的能力；提高学生的信息意识、信息观念和信息技能等方面的信息素质。</w:t>
            </w:r>
          </w:p>
          <w:p>
            <w:pPr>
              <w:spacing w:line="360" w:lineRule="exact"/>
              <w:ind w:firstLine="420" w:firstLineChars="200"/>
              <w:rPr>
                <w:rFonts w:ascii="Times New Roman" w:hAnsi="Times New Roman"/>
                <w:szCs w:val="21"/>
              </w:rPr>
            </w:pPr>
            <w:r>
              <w:rPr>
                <w:rFonts w:hint="eastAsia" w:ascii="Times New Roman" w:hAnsi="Times New Roman"/>
                <w:szCs w:val="21"/>
              </w:rPr>
              <w:t>本课程的主要内容：传统手工检索工具介绍，计算机检索基础理论，联机检索系统——Dialog，中文全文数据库检索，检索知识综合应用。</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1</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8"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“三法”基础与实务</w:t>
            </w:r>
          </w:p>
        </w:tc>
        <w:tc>
          <w:tcPr>
            <w:tcW w:w="6153" w:type="dxa"/>
            <w:vAlign w:val="center"/>
          </w:tcPr>
          <w:p>
            <w:pPr>
              <w:spacing w:line="360" w:lineRule="exact"/>
              <w:ind w:firstLine="420" w:firstLineChars="200"/>
              <w:rPr>
                <w:rFonts w:ascii="Times New Roman" w:hAnsi="Times New Roman"/>
                <w:szCs w:val="21"/>
              </w:rPr>
            </w:pPr>
            <w:r>
              <w:rPr>
                <w:rFonts w:hint="eastAsia" w:ascii="Times New Roman" w:hAnsi="Times New Roman"/>
                <w:szCs w:val="21"/>
              </w:rPr>
              <w:t>本课程2学分，课内学时36学时，非统设选修，开设一学期。</w:t>
            </w:r>
          </w:p>
          <w:p>
            <w:pPr>
              <w:spacing w:line="360" w:lineRule="exact"/>
              <w:ind w:firstLine="420" w:firstLineChars="200"/>
              <w:rPr>
                <w:rFonts w:ascii="Times New Roman" w:hAnsi="Times New Roman"/>
                <w:szCs w:val="21"/>
              </w:rPr>
            </w:pPr>
            <w:r>
              <w:rPr>
                <w:rFonts w:hint="eastAsia" w:ascii="Times New Roman" w:hAnsi="Times New Roman"/>
                <w:szCs w:val="21"/>
              </w:rPr>
              <w:t>通过本课程的学习，使学生掌握矿产资源法、煤炭法和安全生产法等三部法律相关知识。</w:t>
            </w:r>
          </w:p>
          <w:p>
            <w:pPr>
              <w:spacing w:line="360" w:lineRule="exact"/>
              <w:ind w:firstLine="420" w:firstLineChars="200"/>
              <w:rPr>
                <w:rFonts w:ascii="Times New Roman" w:hAnsi="Times New Roman"/>
                <w:szCs w:val="21"/>
              </w:rPr>
            </w:pPr>
          </w:p>
        </w:tc>
        <w:tc>
          <w:tcPr>
            <w:tcW w:w="448" w:type="dxa"/>
            <w:vAlign w:val="center"/>
          </w:tcPr>
          <w:p>
            <w:pPr>
              <w:spacing w:line="276" w:lineRule="auto"/>
              <w:jc w:val="center"/>
              <w:rPr>
                <w:rFonts w:ascii="Times New Roman" w:hAnsi="Times New Roman"/>
                <w:szCs w:val="21"/>
              </w:rPr>
            </w:pPr>
            <w:r>
              <w:rPr>
                <w:rFonts w:ascii="Times New Roman" w:hAnsi="Times New Roman"/>
                <w:szCs w:val="21"/>
              </w:rPr>
              <w:t>2</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Merge w:val="restart"/>
            <w:vAlign w:val="center"/>
          </w:tcPr>
          <w:p>
            <w:pPr>
              <w:spacing w:line="280" w:lineRule="exact"/>
              <w:jc w:val="center"/>
              <w:rPr>
                <w:rFonts w:ascii="Times New Roman" w:hAnsi="Times New Roman"/>
                <w:b/>
                <w:szCs w:val="21"/>
              </w:rPr>
            </w:pPr>
            <w:r>
              <w:rPr>
                <w:rFonts w:ascii="Times New Roman" w:hAnsi="Times New Roman"/>
                <w:b/>
                <w:szCs w:val="21"/>
              </w:rPr>
              <w:t>综</w:t>
            </w:r>
          </w:p>
          <w:p>
            <w:pPr>
              <w:spacing w:line="280" w:lineRule="exact"/>
              <w:jc w:val="center"/>
              <w:rPr>
                <w:rFonts w:ascii="Times New Roman" w:hAnsi="Times New Roman"/>
                <w:b/>
                <w:szCs w:val="21"/>
              </w:rPr>
            </w:pPr>
            <w:r>
              <w:rPr>
                <w:rFonts w:ascii="Times New Roman" w:hAnsi="Times New Roman"/>
                <w:b/>
                <w:szCs w:val="21"/>
              </w:rPr>
              <w:t>合</w:t>
            </w:r>
          </w:p>
          <w:p>
            <w:pPr>
              <w:spacing w:line="280" w:lineRule="exact"/>
              <w:jc w:val="center"/>
              <w:rPr>
                <w:rFonts w:ascii="Times New Roman" w:hAnsi="Times New Roman"/>
                <w:b/>
                <w:szCs w:val="21"/>
              </w:rPr>
            </w:pPr>
            <w:r>
              <w:rPr>
                <w:rFonts w:ascii="Times New Roman" w:hAnsi="Times New Roman"/>
                <w:b/>
                <w:szCs w:val="21"/>
              </w:rPr>
              <w:t>实</w:t>
            </w:r>
          </w:p>
          <w:p>
            <w:pPr>
              <w:spacing w:line="276" w:lineRule="auto"/>
              <w:jc w:val="center"/>
              <w:rPr>
                <w:rFonts w:ascii="Times New Roman" w:hAnsi="Times New Roman"/>
                <w:szCs w:val="21"/>
              </w:rPr>
            </w:pPr>
            <w:r>
              <w:rPr>
                <w:rFonts w:ascii="Times New Roman" w:hAnsi="Times New Roman"/>
                <w:b/>
                <w:szCs w:val="21"/>
              </w:rPr>
              <w:t>践</w:t>
            </w:r>
          </w:p>
        </w:tc>
        <w:tc>
          <w:tcPr>
            <w:tcW w:w="951" w:type="dxa"/>
            <w:vAlign w:val="center"/>
          </w:tcPr>
          <w:p>
            <w:pPr>
              <w:spacing w:line="276" w:lineRule="auto"/>
              <w:jc w:val="center"/>
              <w:rPr>
                <w:rFonts w:ascii="Times New Roman" w:hAnsi="Times New Roman"/>
                <w:szCs w:val="21"/>
              </w:rPr>
            </w:pPr>
            <w:r>
              <w:rPr>
                <w:rFonts w:ascii="Segoe UI Symbol" w:hAnsi="Segoe UI Symbol" w:cs="Segoe UI Symbol"/>
              </w:rPr>
              <w:t>★</w:t>
            </w:r>
            <w:r>
              <w:rPr>
                <w:rFonts w:ascii="Times New Roman" w:hAnsi="Times New Roman"/>
                <w:szCs w:val="21"/>
              </w:rPr>
              <w:t>地质实习（专）</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本实习1学分，配合《煤矿地质》课程，统设选修，开设一周。</w:t>
            </w:r>
          </w:p>
          <w:p>
            <w:pPr>
              <w:spacing w:line="360" w:lineRule="exact"/>
              <w:ind w:firstLine="420" w:firstLineChars="200"/>
              <w:rPr>
                <w:rFonts w:ascii="Times New Roman" w:hAnsi="Times New Roman"/>
                <w:szCs w:val="21"/>
              </w:rPr>
            </w:pPr>
            <w:r>
              <w:rPr>
                <w:rFonts w:ascii="Times New Roman" w:hAnsi="Times New Roman"/>
                <w:szCs w:val="21"/>
              </w:rPr>
              <w:t>通过野外地质实习提高学生理论联系实际能力，也是加深课堂教学的重要内容。让学生了解有关煤矿地质工作基本方法和特点，观察和认识一些常见的岩石，认识常见的地质构造现象。</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1</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3"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测量实习</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本实习2学分，配合《矿井测量》课程，统设选修，开设两周。</w:t>
            </w:r>
          </w:p>
          <w:p>
            <w:pPr>
              <w:spacing w:line="360" w:lineRule="exact"/>
              <w:ind w:firstLine="420" w:firstLineChars="200"/>
              <w:rPr>
                <w:rFonts w:ascii="Times New Roman" w:hAnsi="Times New Roman"/>
                <w:szCs w:val="21"/>
              </w:rPr>
            </w:pPr>
            <w:r>
              <w:rPr>
                <w:rFonts w:ascii="Times New Roman" w:hAnsi="Times New Roman"/>
                <w:szCs w:val="21"/>
              </w:rPr>
              <w:t>通过矿山测量实习，对矿井的测量工作情况有一个较为全面的认识；熟悉与掌握生产矿井中各项基本测量方法、测量仪器操作技能；掌握矿山测量所使用的主要仪器，工具的构造及操作方法。</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2</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井巷工程课程设计（专）</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本设计</w:t>
            </w:r>
            <w:r>
              <w:rPr>
                <w:rFonts w:hint="eastAsia" w:ascii="Times New Roman" w:hAnsi="Times New Roman"/>
                <w:szCs w:val="21"/>
              </w:rPr>
              <w:t>2</w:t>
            </w:r>
            <w:r>
              <w:rPr>
                <w:rFonts w:ascii="Times New Roman" w:hAnsi="Times New Roman"/>
                <w:szCs w:val="21"/>
              </w:rPr>
              <w:t>学分，配合《井巷工程》课程，统设选修，开设一周。</w:t>
            </w:r>
          </w:p>
          <w:p>
            <w:pPr>
              <w:spacing w:line="360" w:lineRule="exact"/>
              <w:ind w:firstLine="420" w:firstLineChars="200"/>
              <w:rPr>
                <w:rFonts w:ascii="Times New Roman" w:hAnsi="Times New Roman"/>
                <w:szCs w:val="21"/>
              </w:rPr>
            </w:pPr>
            <w:r>
              <w:rPr>
                <w:rFonts w:ascii="Times New Roman" w:hAnsi="Times New Roman"/>
                <w:szCs w:val="21"/>
              </w:rPr>
              <w:t>通过岩石单轴抗压试验、巷道断面的设计、编制巷道掘进施工爆破作业说明书等实习使学生掌握岩石的试验和煤矿巷道断面的设计。</w:t>
            </w:r>
          </w:p>
        </w:tc>
        <w:tc>
          <w:tcPr>
            <w:tcW w:w="448" w:type="dxa"/>
            <w:vAlign w:val="center"/>
          </w:tcPr>
          <w:p>
            <w:pPr>
              <w:spacing w:line="276" w:lineRule="auto"/>
              <w:jc w:val="center"/>
              <w:rPr>
                <w:rFonts w:ascii="Times New Roman" w:hAnsi="Times New Roman"/>
                <w:szCs w:val="21"/>
              </w:rPr>
            </w:pPr>
            <w:r>
              <w:rPr>
                <w:rFonts w:hint="eastAsia" w:ascii="Times New Roman" w:hAnsi="Times New Roman"/>
                <w:szCs w:val="21"/>
              </w:rPr>
              <w:t>2</w:t>
            </w:r>
          </w:p>
        </w:tc>
        <w:tc>
          <w:tcPr>
            <w:tcW w:w="675" w:type="dxa"/>
            <w:vAlign w:val="center"/>
          </w:tcPr>
          <w:p>
            <w:pPr>
              <w:spacing w:line="276" w:lineRule="auto"/>
              <w:jc w:val="center"/>
              <w:rPr>
                <w:rFonts w:ascii="Times New Roman" w:hAnsi="Times New Roman"/>
                <w:szCs w:val="21"/>
              </w:rPr>
            </w:pPr>
            <w:r>
              <w:rPr>
                <w:rFonts w:hint="eastAsia" w:ascii="Times New Roman" w:hAnsi="Times New Roman"/>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Segoe UI Symbol" w:hAnsi="Segoe UI Symbol" w:cs="Segoe UI Symbol"/>
              </w:rPr>
              <w:t>★</w:t>
            </w:r>
            <w:r>
              <w:rPr>
                <w:rFonts w:ascii="Times New Roman" w:hAnsi="Times New Roman"/>
                <w:szCs w:val="21"/>
              </w:rPr>
              <w:t>矿图实训（专）</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本实训1学分，配合《矿图识读与CAD应用》课程，统设选修，开设一周。</w:t>
            </w:r>
          </w:p>
          <w:p>
            <w:pPr>
              <w:spacing w:line="360" w:lineRule="exact"/>
              <w:ind w:firstLine="420" w:firstLineChars="200"/>
              <w:rPr>
                <w:rFonts w:ascii="Times New Roman" w:hAnsi="Times New Roman"/>
                <w:szCs w:val="21"/>
              </w:rPr>
            </w:pPr>
            <w:r>
              <w:rPr>
                <w:rFonts w:ascii="Times New Roman" w:hAnsi="Times New Roman"/>
                <w:szCs w:val="21"/>
              </w:rPr>
              <w:t>使用CAD绘制生产系统图、采矿工程图等基本矿图、正确分析矿图。</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1</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4"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矿井通风与安全课程设计</w:t>
            </w:r>
          </w:p>
        </w:tc>
        <w:tc>
          <w:tcPr>
            <w:tcW w:w="6153" w:type="dxa"/>
            <w:vAlign w:val="center"/>
          </w:tcPr>
          <w:p>
            <w:pPr>
              <w:spacing w:line="360" w:lineRule="exact"/>
              <w:ind w:firstLine="420" w:firstLineChars="200"/>
              <w:rPr>
                <w:rFonts w:ascii="Times New Roman" w:hAnsi="Times New Roman"/>
                <w:szCs w:val="21"/>
              </w:rPr>
            </w:pPr>
            <w:r>
              <w:rPr>
                <w:rFonts w:ascii="Times New Roman" w:hAnsi="Times New Roman"/>
                <w:szCs w:val="21"/>
              </w:rPr>
              <w:t>本实训2学分，配合《矿井通风与安全》课程，统设选修，开设一周。</w:t>
            </w:r>
          </w:p>
          <w:p>
            <w:pPr>
              <w:spacing w:line="360" w:lineRule="exact"/>
              <w:ind w:firstLine="420" w:firstLineChars="200"/>
              <w:rPr>
                <w:rFonts w:ascii="Times New Roman" w:hAnsi="Times New Roman"/>
                <w:szCs w:val="21"/>
              </w:rPr>
            </w:pPr>
            <w:r>
              <w:rPr>
                <w:rFonts w:ascii="Times New Roman" w:hAnsi="Times New Roman"/>
                <w:szCs w:val="21"/>
              </w:rPr>
              <w:t>通过运用通风阻力计算、通风构筑物的设置、风机计算选择等知识，掌握采区、矿井通风系统的设计。</w:t>
            </w:r>
          </w:p>
        </w:tc>
        <w:tc>
          <w:tcPr>
            <w:tcW w:w="448" w:type="dxa"/>
            <w:vAlign w:val="center"/>
          </w:tcPr>
          <w:p>
            <w:pPr>
              <w:spacing w:line="276" w:lineRule="auto"/>
              <w:jc w:val="center"/>
              <w:rPr>
                <w:rFonts w:ascii="Times New Roman" w:hAnsi="Times New Roman"/>
                <w:szCs w:val="21"/>
              </w:rPr>
            </w:pPr>
            <w:r>
              <w:rPr>
                <w:rFonts w:hint="eastAsia" w:ascii="Times New Roman" w:hAnsi="Times New Roman"/>
                <w:szCs w:val="21"/>
              </w:rPr>
              <w:t>2</w:t>
            </w:r>
          </w:p>
        </w:tc>
        <w:tc>
          <w:tcPr>
            <w:tcW w:w="675" w:type="dxa"/>
            <w:vAlign w:val="center"/>
          </w:tcPr>
          <w:p>
            <w:pPr>
              <w:spacing w:line="276" w:lineRule="auto"/>
              <w:jc w:val="center"/>
              <w:rPr>
                <w:rFonts w:ascii="Times New Roman" w:hAnsi="Times New Roman"/>
                <w:szCs w:val="21"/>
              </w:rPr>
            </w:pPr>
            <w:r>
              <w:rPr>
                <w:rFonts w:hint="eastAsia" w:ascii="Times New Roman" w:hAnsi="Times New Roman"/>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8" w:hRule="atLeast"/>
        </w:trPr>
        <w:tc>
          <w:tcPr>
            <w:tcW w:w="704" w:type="dxa"/>
            <w:vMerge w:val="continue"/>
            <w:vAlign w:val="center"/>
          </w:tcPr>
          <w:p>
            <w:pPr>
              <w:spacing w:line="276" w:lineRule="auto"/>
              <w:jc w:val="center"/>
              <w:rPr>
                <w:rFonts w:ascii="Times New Roman" w:hAnsi="Times New Roman"/>
                <w:szCs w:val="21"/>
              </w:rPr>
            </w:pPr>
          </w:p>
        </w:tc>
        <w:tc>
          <w:tcPr>
            <w:tcW w:w="951" w:type="dxa"/>
            <w:vAlign w:val="center"/>
          </w:tcPr>
          <w:p>
            <w:pPr>
              <w:spacing w:line="276" w:lineRule="auto"/>
              <w:jc w:val="center"/>
              <w:rPr>
                <w:rFonts w:ascii="Times New Roman" w:hAnsi="Times New Roman"/>
                <w:szCs w:val="21"/>
              </w:rPr>
            </w:pPr>
            <w:r>
              <w:rPr>
                <w:rFonts w:ascii="Times New Roman" w:hAnsi="Times New Roman"/>
                <w:szCs w:val="21"/>
              </w:rPr>
              <w:t>实训实习与毕业设计</w:t>
            </w:r>
          </w:p>
        </w:tc>
        <w:tc>
          <w:tcPr>
            <w:tcW w:w="6153" w:type="dxa"/>
            <w:vAlign w:val="center"/>
          </w:tcPr>
          <w:p>
            <w:pPr>
              <w:pStyle w:val="19"/>
              <w:adjustRightInd w:val="0"/>
              <w:snapToGrid w:val="0"/>
              <w:spacing w:before="0" w:beforeAutospacing="0" w:after="0" w:afterAutospacing="0" w:line="380" w:lineRule="exact"/>
              <w:ind w:firstLine="420" w:firstLineChars="200"/>
              <w:rPr>
                <w:rFonts w:ascii="Times New Roman" w:hAnsi="Times New Roman" w:cs="Times New Roman"/>
                <w:kern w:val="2"/>
                <w:sz w:val="21"/>
                <w:szCs w:val="21"/>
              </w:rPr>
            </w:pPr>
            <w:r>
              <w:rPr>
                <w:rFonts w:ascii="Times New Roman" w:hAnsi="Times New Roman" w:cs="Times New Roman"/>
                <w:kern w:val="2"/>
                <w:sz w:val="21"/>
                <w:szCs w:val="21"/>
              </w:rPr>
              <w:t>毕业实习：主要采用到签约企业进行毕业顶岗实习的方式进行。由企业安排采用师傅带徒弟的方式进行生产操作实习，并由教研室指定教师和师傅一起指导学生，最后必须完成安排的操作和教学任务，完成规定的周记、报告、论文等任务，由企业和教研室根据实习情况和报告等对学生进行综合评定。</w:t>
            </w:r>
          </w:p>
          <w:p>
            <w:pPr>
              <w:spacing w:line="360" w:lineRule="exact"/>
              <w:ind w:firstLine="420" w:firstLineChars="200"/>
              <w:rPr>
                <w:rFonts w:ascii="Times New Roman" w:hAnsi="Times New Roman"/>
                <w:szCs w:val="21"/>
              </w:rPr>
            </w:pPr>
            <w:r>
              <w:rPr>
                <w:rFonts w:ascii="Times New Roman" w:hAnsi="Times New Roman"/>
                <w:szCs w:val="21"/>
              </w:rPr>
              <w:t>毕业设计：学生应用所学知识，结合现场实际进行选题，完成矿井的初步设计任务。通过毕业设计，进一步巩固所学的理论知识，培养应用所学知识解决工程设计及相关实际问题的能力和独立工作能力，使学生得到工程技术人员基本技能的综合训练。</w:t>
            </w:r>
          </w:p>
        </w:tc>
        <w:tc>
          <w:tcPr>
            <w:tcW w:w="448" w:type="dxa"/>
            <w:vAlign w:val="center"/>
          </w:tcPr>
          <w:p>
            <w:pPr>
              <w:spacing w:line="276" w:lineRule="auto"/>
              <w:jc w:val="center"/>
              <w:rPr>
                <w:rFonts w:ascii="Times New Roman" w:hAnsi="Times New Roman"/>
                <w:szCs w:val="21"/>
              </w:rPr>
            </w:pPr>
            <w:r>
              <w:rPr>
                <w:rFonts w:ascii="Times New Roman" w:hAnsi="Times New Roman"/>
                <w:szCs w:val="21"/>
              </w:rPr>
              <w:t>10</w:t>
            </w:r>
          </w:p>
        </w:tc>
        <w:tc>
          <w:tcPr>
            <w:tcW w:w="675" w:type="dxa"/>
            <w:vAlign w:val="center"/>
          </w:tcPr>
          <w:p>
            <w:pPr>
              <w:spacing w:line="276" w:lineRule="auto"/>
              <w:jc w:val="center"/>
              <w:rPr>
                <w:rFonts w:ascii="Times New Roman" w:hAnsi="Times New Roman"/>
                <w:szCs w:val="21"/>
              </w:rPr>
            </w:pPr>
            <w:r>
              <w:rPr>
                <w:rFonts w:ascii="Times New Roman" w:hAnsi="Times New Roman"/>
                <w:szCs w:val="21"/>
              </w:rPr>
              <w:t>180</w:t>
            </w:r>
          </w:p>
        </w:tc>
      </w:tr>
    </w:tbl>
    <w:p>
      <w:pPr>
        <w:spacing w:line="260" w:lineRule="exact"/>
        <w:rPr>
          <w:rFonts w:ascii="Times New Roman" w:hAnsi="Times New Roman"/>
          <w:szCs w:val="21"/>
        </w:rPr>
      </w:pPr>
    </w:p>
    <w:p>
      <w:pPr>
        <w:pStyle w:val="2"/>
        <w:spacing w:before="0" w:after="0"/>
        <w:ind w:firstLine="420"/>
        <w:jc w:val="center"/>
        <w:rPr>
          <w:rFonts w:ascii="Times New Roman" w:hAnsi="Times New Roman" w:cs="Times New Roman"/>
          <w:b w:val="0"/>
          <w:bCs w:val="0"/>
          <w:kern w:val="2"/>
          <w:sz w:val="21"/>
          <w:szCs w:val="22"/>
        </w:rPr>
      </w:pPr>
      <w:bookmarkStart w:id="17" w:name="_Toc423019098"/>
      <w:r>
        <w:rPr>
          <w:rFonts w:ascii="Times New Roman" w:hAnsi="Times New Roman" w:cs="Times New Roman"/>
          <w:b w:val="0"/>
          <w:bCs w:val="0"/>
          <w:kern w:val="2"/>
          <w:sz w:val="21"/>
          <w:szCs w:val="22"/>
        </w:rPr>
        <w:br w:type="page"/>
      </w:r>
    </w:p>
    <w:p>
      <w:pPr>
        <w:pStyle w:val="2"/>
        <w:spacing w:before="0" w:after="0"/>
        <w:ind w:firstLine="665"/>
        <w:jc w:val="center"/>
        <w:rPr>
          <w:rFonts w:ascii="华文中宋" w:hAnsi="华文中宋" w:eastAsia="华文中宋"/>
          <w:spacing w:val="-14"/>
          <w:sz w:val="36"/>
          <w:szCs w:val="36"/>
        </w:rPr>
      </w:pPr>
      <w:r>
        <w:rPr>
          <w:rFonts w:ascii="华文中宋" w:hAnsi="华文中宋" w:eastAsia="华文中宋"/>
          <w:spacing w:val="-14"/>
          <w:sz w:val="36"/>
          <w:szCs w:val="36"/>
        </w:rPr>
        <w:t>第六部分煤矿开采技术专业（专科）教学实施方案</w:t>
      </w:r>
      <w:bookmarkEnd w:id="17"/>
    </w:p>
    <w:p>
      <w:pPr>
        <w:ind w:firstLine="600" w:firstLineChars="200"/>
        <w:rPr>
          <w:rFonts w:ascii="仿宋_GB2312" w:hAnsi="Times New Roman" w:eastAsia="仿宋_GB2312"/>
          <w:sz w:val="28"/>
          <w:szCs w:val="28"/>
        </w:rPr>
      </w:pPr>
      <w:r>
        <w:rPr>
          <w:rFonts w:hint="eastAsia" w:ascii="仿宋_GB2312" w:hAnsi="Times New Roman" w:eastAsia="仿宋_GB2312"/>
          <w:sz w:val="30"/>
          <w:szCs w:val="30"/>
        </w:rPr>
        <w:t>为了保证国家开放大学煤矿开采技术专业（专科）的教学实施，做好本专业的教学与教学管理工作，保证教学质量，实现高级技能型专门人才的培养目标，特制定本教学实施方案</w:t>
      </w:r>
      <w:r>
        <w:rPr>
          <w:rFonts w:hint="eastAsia" w:ascii="仿宋_GB2312" w:hAnsi="Times New Roman" w:eastAsia="仿宋_GB2312"/>
          <w:sz w:val="28"/>
          <w:szCs w:val="28"/>
        </w:rPr>
        <w:t>。</w:t>
      </w:r>
    </w:p>
    <w:p>
      <w:pPr>
        <w:pStyle w:val="2"/>
        <w:spacing w:before="0" w:after="0"/>
        <w:ind w:firstLine="602"/>
        <w:rPr>
          <w:rFonts w:ascii="Times New Roman" w:hAnsi="Times New Roman" w:cs="Times New Roman"/>
          <w:sz w:val="30"/>
          <w:szCs w:val="30"/>
        </w:rPr>
      </w:pPr>
      <w:bookmarkStart w:id="18" w:name="_Toc423019099"/>
      <w:bookmarkStart w:id="19" w:name="_Toc1163"/>
      <w:r>
        <w:rPr>
          <w:rFonts w:ascii="Times New Roman" w:hAnsi="Times New Roman" w:cs="Times New Roman"/>
          <w:sz w:val="30"/>
          <w:szCs w:val="30"/>
        </w:rPr>
        <w:t>一、专业建设</w:t>
      </w:r>
      <w:bookmarkEnd w:id="18"/>
      <w:bookmarkEnd w:id="19"/>
    </w:p>
    <w:p>
      <w:pPr>
        <w:spacing w:line="500" w:lineRule="exact"/>
        <w:ind w:firstLine="600" w:firstLineChars="200"/>
        <w:outlineLvl w:val="1"/>
        <w:rPr>
          <w:rFonts w:ascii="仿宋_GB2312" w:hAnsi="Times New Roman" w:eastAsia="仿宋_GB2312"/>
          <w:sz w:val="30"/>
          <w:szCs w:val="30"/>
        </w:rPr>
      </w:pPr>
      <w:bookmarkStart w:id="20" w:name="_Toc7767"/>
      <w:bookmarkStart w:id="21" w:name="_Toc423019100"/>
      <w:r>
        <w:rPr>
          <w:rFonts w:hint="eastAsia" w:ascii="仿宋_GB2312" w:hAnsi="Times New Roman" w:eastAsia="仿宋_GB2312"/>
          <w:sz w:val="30"/>
          <w:szCs w:val="30"/>
        </w:rPr>
        <w:t>（一）生源目标</w:t>
      </w:r>
      <w:bookmarkEnd w:id="20"/>
      <w:bookmarkEnd w:id="21"/>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本专业的学生主要是煤炭企业在职职工和社会青年（包括煤炭行业普通高中、职高、中专、技校毕业生）；具有初中毕业学历者可注册课程学习。</w:t>
      </w:r>
    </w:p>
    <w:p>
      <w:pPr>
        <w:spacing w:line="500" w:lineRule="exact"/>
        <w:ind w:firstLine="600" w:firstLineChars="200"/>
        <w:outlineLvl w:val="1"/>
        <w:rPr>
          <w:rFonts w:ascii="仿宋_GB2312" w:hAnsi="Times New Roman" w:eastAsia="仿宋_GB2312"/>
          <w:sz w:val="30"/>
          <w:szCs w:val="30"/>
        </w:rPr>
      </w:pPr>
      <w:bookmarkStart w:id="22" w:name="_Toc423019101"/>
      <w:bookmarkStart w:id="23" w:name="_Toc24196"/>
      <w:r>
        <w:rPr>
          <w:rFonts w:hint="eastAsia" w:ascii="仿宋_GB2312" w:hAnsi="Times New Roman" w:eastAsia="仿宋_GB2312"/>
          <w:sz w:val="30"/>
          <w:szCs w:val="30"/>
        </w:rPr>
        <w:t>（二）课程建设特点</w:t>
      </w:r>
      <w:bookmarkEnd w:id="22"/>
      <w:bookmarkEnd w:id="23"/>
    </w:p>
    <w:p>
      <w:pPr>
        <w:ind w:firstLine="600" w:firstLineChars="200"/>
        <w:rPr>
          <w:rFonts w:ascii="仿宋_GB2312" w:hAnsi="Times New Roman" w:eastAsia="仿宋_GB2312"/>
          <w:sz w:val="30"/>
          <w:szCs w:val="30"/>
        </w:rPr>
      </w:pPr>
      <w:r>
        <w:rPr>
          <w:rFonts w:ascii="仿宋_GB2312" w:hAnsi="Times New Roman" w:eastAsia="仿宋_GB2312"/>
          <w:sz w:val="30"/>
          <w:szCs w:val="30"/>
        </w:rPr>
        <w:t>本专业的主要课程（公共基础课和通识课除外）按教学特点可以分为三类：</w:t>
      </w:r>
    </w:p>
    <w:p>
      <w:pPr>
        <w:ind w:firstLine="600" w:firstLineChars="200"/>
        <w:rPr>
          <w:rFonts w:ascii="仿宋_GB2312" w:hAnsi="Times New Roman" w:eastAsia="仿宋_GB2312"/>
          <w:sz w:val="30"/>
          <w:szCs w:val="30"/>
        </w:rPr>
      </w:pPr>
      <w:r>
        <w:rPr>
          <w:rFonts w:ascii="仿宋_GB2312" w:hAnsi="Times New Roman" w:eastAsia="仿宋_GB2312"/>
          <w:sz w:val="30"/>
          <w:szCs w:val="30"/>
        </w:rPr>
        <w:t xml:space="preserve">1．专业基础知识课程：主要涉及煤矿开采技术专业的入门基础性知识和煤矿企业各技术工种都需要掌握的专业基础知识，主要课程包括：《煤矿地质》、《矿井测量》、《矿图识读与CAD应用》、《井巷工程》（专）、《煤矿开采》（专）、《矿山压力与岩层控制》（专）、《矿井通风与安全》、《采掘机械》（专）等，为接下来的专业实践教学工作的顺利开展提供基础和保障。 </w:t>
      </w:r>
    </w:p>
    <w:p>
      <w:pPr>
        <w:ind w:firstLine="600" w:firstLineChars="200"/>
        <w:rPr>
          <w:rFonts w:ascii="仿宋_GB2312" w:hAnsi="Times New Roman" w:eastAsia="仿宋_GB2312"/>
          <w:sz w:val="30"/>
          <w:szCs w:val="30"/>
        </w:rPr>
      </w:pPr>
      <w:r>
        <w:rPr>
          <w:rFonts w:ascii="仿宋_GB2312" w:hAnsi="Times New Roman" w:eastAsia="仿宋_GB2312"/>
          <w:sz w:val="30"/>
          <w:szCs w:val="30"/>
        </w:rPr>
        <w:t>2．满足行业需要的对口课程：为了培养适应煤炭企业不同岗位及相关企业特定岗位需求的人才，设计本专业的拓展课程，包括《煤炭大讲堂》（专）、《科技文献检索》、《企业运营与发展》、《”三法”基础与实务》、《中国传统文化概观》等课程，通过上述课程的学习，可增强学生的就业竞争力。</w:t>
      </w:r>
    </w:p>
    <w:p>
      <w:pPr>
        <w:ind w:firstLine="600" w:firstLineChars="200"/>
        <w:rPr>
          <w:rFonts w:ascii="仿宋_GB2312" w:hAnsi="Times New Roman" w:eastAsia="仿宋_GB2312"/>
          <w:sz w:val="30"/>
          <w:szCs w:val="30"/>
        </w:rPr>
      </w:pPr>
      <w:r>
        <w:rPr>
          <w:rFonts w:ascii="仿宋_GB2312" w:hAnsi="Times New Roman" w:eastAsia="仿宋_GB2312"/>
          <w:sz w:val="30"/>
          <w:szCs w:val="30"/>
        </w:rPr>
        <w:t>3．实践性教学课程：为使学生适应社会需要，掌握必需的操作技能，必须设置实践性教学课程，为将来从事相关岗位工作打好基础。主要课程包括《地质实习》（专）、《测量实习》、《矿图实训》（专）《井巷工程课程设计》（专）、《矿井通风与安全课程设计》和《实训实习与毕业设计》，在教学中应突出实操性的特点，强调理论和实践相结合。</w:t>
      </w:r>
    </w:p>
    <w:p>
      <w:pPr>
        <w:ind w:firstLine="600" w:firstLineChars="200"/>
        <w:rPr>
          <w:rFonts w:ascii="仿宋_GB2312" w:hAnsi="Times New Roman" w:eastAsia="仿宋_GB2312"/>
          <w:sz w:val="30"/>
          <w:szCs w:val="30"/>
        </w:rPr>
      </w:pPr>
      <w:r>
        <w:rPr>
          <w:rFonts w:ascii="仿宋_GB2312" w:hAnsi="Times New Roman" w:eastAsia="仿宋_GB2312"/>
          <w:sz w:val="30"/>
          <w:szCs w:val="30"/>
        </w:rPr>
        <w:t>煤矿开采技术专业教学重点是使学生更早和更多地接触煤炭行业，将课堂传授的理论知识与以实践能力、实际经验为主的生产有机结合，从本质上解决学校教育与社会需求脱节的问题。</w:t>
      </w:r>
    </w:p>
    <w:p>
      <w:pPr>
        <w:spacing w:line="500" w:lineRule="exact"/>
        <w:ind w:firstLine="600" w:firstLineChars="200"/>
        <w:outlineLvl w:val="1"/>
        <w:rPr>
          <w:rFonts w:ascii="仿宋_GB2312" w:hAnsi="Times New Roman" w:eastAsia="仿宋_GB2312"/>
          <w:sz w:val="30"/>
          <w:szCs w:val="30"/>
        </w:rPr>
      </w:pPr>
      <w:bookmarkStart w:id="24" w:name="_Toc9657"/>
      <w:bookmarkStart w:id="25" w:name="_Toc423019102"/>
      <w:r>
        <w:rPr>
          <w:rFonts w:ascii="仿宋_GB2312" w:hAnsi="Times New Roman" w:eastAsia="仿宋_GB2312"/>
          <w:sz w:val="30"/>
          <w:szCs w:val="30"/>
        </w:rPr>
        <w:t>（三）能力、知识结构及其支撑课程</w:t>
      </w:r>
      <w:bookmarkEnd w:id="24"/>
      <w:bookmarkEnd w:id="25"/>
    </w:p>
    <w:p>
      <w:pPr>
        <w:ind w:firstLine="600" w:firstLineChars="200"/>
        <w:rPr>
          <w:rFonts w:ascii="仿宋_GB2312" w:hAnsi="Times New Roman" w:eastAsia="仿宋_GB2312"/>
          <w:sz w:val="30"/>
          <w:szCs w:val="30"/>
        </w:rPr>
      </w:pPr>
      <w:r>
        <w:rPr>
          <w:rFonts w:ascii="仿宋_GB2312" w:hAnsi="Times New Roman" w:eastAsia="仿宋_GB2312"/>
          <w:sz w:val="30"/>
          <w:szCs w:val="30"/>
        </w:rPr>
        <w:t>掌握煤矿开采技术专业所需要的基础理论、基本知识和基本技能，从事本专业的实际工作，具有较强分析、工程设计、监测、管理等工作的能力。各模块能力要求、知识涵盖面及课程设置见下表。</w:t>
      </w:r>
    </w:p>
    <w:p>
      <w:pPr>
        <w:ind w:firstLine="600" w:firstLineChars="200"/>
        <w:rPr>
          <w:rFonts w:ascii="仿宋_GB2312" w:hAnsi="Times New Roman" w:eastAsia="仿宋_GB2312"/>
          <w:sz w:val="30"/>
          <w:szCs w:val="30"/>
        </w:rPr>
      </w:pPr>
    </w:p>
    <w:p>
      <w:pPr>
        <w:ind w:firstLine="600" w:firstLineChars="200"/>
        <w:rPr>
          <w:rFonts w:ascii="仿宋_GB2312" w:hAnsi="Times New Roman" w:eastAsia="仿宋_GB2312"/>
          <w:sz w:val="30"/>
          <w:szCs w:val="30"/>
        </w:rPr>
      </w:pPr>
    </w:p>
    <w:p>
      <w:pPr>
        <w:ind w:firstLine="600" w:firstLineChars="200"/>
        <w:rPr>
          <w:rFonts w:ascii="仿宋_GB2312" w:hAnsi="Times New Roman" w:eastAsia="仿宋_GB2312"/>
          <w:sz w:val="30"/>
          <w:szCs w:val="30"/>
        </w:rPr>
      </w:pPr>
    </w:p>
    <w:p>
      <w:pPr>
        <w:ind w:firstLine="600" w:firstLineChars="200"/>
        <w:rPr>
          <w:rFonts w:ascii="仿宋_GB2312" w:hAnsi="Times New Roman" w:eastAsia="仿宋_GB2312"/>
          <w:sz w:val="30"/>
          <w:szCs w:val="30"/>
        </w:rPr>
      </w:pPr>
    </w:p>
    <w:p>
      <w:pPr>
        <w:ind w:firstLine="600" w:firstLineChars="200"/>
        <w:rPr>
          <w:rFonts w:ascii="仿宋_GB2312" w:hAnsi="Times New Roman" w:eastAsia="仿宋_GB2312"/>
          <w:sz w:val="30"/>
          <w:szCs w:val="30"/>
        </w:rPr>
      </w:pPr>
    </w:p>
    <w:p>
      <w:pPr>
        <w:ind w:firstLine="600" w:firstLineChars="200"/>
        <w:rPr>
          <w:rFonts w:ascii="仿宋_GB2312" w:hAnsi="Times New Roman" w:eastAsia="仿宋_GB2312"/>
          <w:sz w:val="30"/>
          <w:szCs w:val="30"/>
        </w:rPr>
      </w:pPr>
    </w:p>
    <w:p>
      <w:pPr>
        <w:ind w:firstLine="600" w:firstLineChars="200"/>
        <w:rPr>
          <w:rFonts w:ascii="仿宋_GB2312" w:hAnsi="Times New Roman" w:eastAsia="仿宋_GB2312"/>
          <w:sz w:val="30"/>
          <w:szCs w:val="30"/>
        </w:rPr>
      </w:pPr>
    </w:p>
    <w:tbl>
      <w:tblPr>
        <w:tblStyle w:val="21"/>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693"/>
        <w:gridCol w:w="3142"/>
        <w:gridCol w:w="2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34" w:type="dxa"/>
            <w:vAlign w:val="center"/>
          </w:tcPr>
          <w:p>
            <w:pPr>
              <w:jc w:val="center"/>
              <w:rPr>
                <w:rFonts w:ascii="Times New Roman" w:hAnsi="Times New Roman"/>
                <w:b/>
                <w:sz w:val="18"/>
                <w:szCs w:val="18"/>
              </w:rPr>
            </w:pPr>
            <w:r>
              <w:rPr>
                <w:rFonts w:ascii="Times New Roman" w:hAnsi="Times New Roman"/>
                <w:b/>
                <w:sz w:val="18"/>
                <w:szCs w:val="18"/>
              </w:rPr>
              <w:t>模块</w:t>
            </w:r>
          </w:p>
        </w:tc>
        <w:tc>
          <w:tcPr>
            <w:tcW w:w="2693" w:type="dxa"/>
            <w:vAlign w:val="center"/>
          </w:tcPr>
          <w:p>
            <w:pPr>
              <w:jc w:val="center"/>
              <w:rPr>
                <w:rFonts w:ascii="Times New Roman" w:hAnsi="Times New Roman"/>
                <w:b/>
                <w:sz w:val="18"/>
                <w:szCs w:val="18"/>
              </w:rPr>
            </w:pPr>
            <w:r>
              <w:rPr>
                <w:rFonts w:ascii="Times New Roman" w:hAnsi="Times New Roman"/>
                <w:b/>
                <w:sz w:val="18"/>
                <w:szCs w:val="18"/>
              </w:rPr>
              <w:t>能力</w:t>
            </w:r>
          </w:p>
        </w:tc>
        <w:tc>
          <w:tcPr>
            <w:tcW w:w="3142" w:type="dxa"/>
            <w:vAlign w:val="center"/>
          </w:tcPr>
          <w:p>
            <w:pPr>
              <w:jc w:val="center"/>
              <w:rPr>
                <w:rFonts w:ascii="Times New Roman" w:hAnsi="Times New Roman"/>
                <w:b/>
                <w:sz w:val="18"/>
                <w:szCs w:val="18"/>
              </w:rPr>
            </w:pPr>
            <w:r>
              <w:rPr>
                <w:rFonts w:ascii="Times New Roman" w:hAnsi="Times New Roman"/>
                <w:b/>
                <w:sz w:val="18"/>
                <w:szCs w:val="18"/>
              </w:rPr>
              <w:t>知识</w:t>
            </w:r>
          </w:p>
        </w:tc>
        <w:tc>
          <w:tcPr>
            <w:tcW w:w="2273" w:type="dxa"/>
            <w:vAlign w:val="center"/>
          </w:tcPr>
          <w:p>
            <w:pPr>
              <w:jc w:val="center"/>
              <w:rPr>
                <w:rFonts w:ascii="Times New Roman" w:hAnsi="Times New Roman"/>
                <w:b/>
                <w:sz w:val="18"/>
                <w:szCs w:val="18"/>
              </w:rPr>
            </w:pPr>
            <w:r>
              <w:rPr>
                <w:rFonts w:ascii="Times New Roman" w:hAnsi="Times New Roman"/>
                <w:b/>
                <w:sz w:val="18"/>
                <w:szCs w:val="18"/>
              </w:rPr>
              <w:t>课程设置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534" w:type="dxa"/>
            <w:vAlign w:val="center"/>
          </w:tcPr>
          <w:p>
            <w:pPr>
              <w:jc w:val="center"/>
              <w:rPr>
                <w:rFonts w:ascii="Times New Roman" w:hAnsi="Times New Roman"/>
                <w:b/>
                <w:sz w:val="18"/>
                <w:szCs w:val="18"/>
              </w:rPr>
            </w:pPr>
            <w:r>
              <w:rPr>
                <w:rFonts w:ascii="Times New Roman" w:hAnsi="Times New Roman"/>
                <w:b/>
                <w:sz w:val="18"/>
                <w:szCs w:val="18"/>
              </w:rPr>
              <w:t>公共基础课模块</w:t>
            </w:r>
          </w:p>
        </w:tc>
        <w:tc>
          <w:tcPr>
            <w:tcW w:w="2693" w:type="dxa"/>
            <w:vAlign w:val="center"/>
          </w:tcPr>
          <w:p>
            <w:pPr>
              <w:rPr>
                <w:rFonts w:ascii="Times New Roman" w:hAnsi="Times New Roman"/>
                <w:sz w:val="18"/>
                <w:szCs w:val="18"/>
              </w:rPr>
            </w:pPr>
            <w:r>
              <w:rPr>
                <w:rFonts w:ascii="Times New Roman" w:hAnsi="Times New Roman"/>
                <w:sz w:val="18"/>
                <w:szCs w:val="18"/>
              </w:rPr>
              <w:t>运用政治理论知识分析解决问题的能力；</w:t>
            </w:r>
          </w:p>
          <w:p>
            <w:pPr>
              <w:rPr>
                <w:rFonts w:ascii="Times New Roman" w:hAnsi="Times New Roman"/>
                <w:sz w:val="18"/>
                <w:szCs w:val="18"/>
              </w:rPr>
            </w:pPr>
            <w:r>
              <w:rPr>
                <w:rFonts w:ascii="Times New Roman" w:hAnsi="Times New Roman"/>
                <w:sz w:val="18"/>
                <w:szCs w:val="18"/>
              </w:rPr>
              <w:t>掌握完成国家开放大学规定的专业学习任务的能力；</w:t>
            </w:r>
          </w:p>
          <w:p>
            <w:pPr>
              <w:rPr>
                <w:rFonts w:ascii="Times New Roman" w:hAnsi="Times New Roman"/>
                <w:sz w:val="18"/>
                <w:szCs w:val="18"/>
              </w:rPr>
            </w:pPr>
            <w:r>
              <w:rPr>
                <w:rFonts w:ascii="Times New Roman" w:hAnsi="Times New Roman"/>
                <w:sz w:val="18"/>
                <w:szCs w:val="18"/>
              </w:rPr>
              <w:t>一定的计算能力；</w:t>
            </w:r>
          </w:p>
          <w:p>
            <w:pPr>
              <w:rPr>
                <w:rFonts w:ascii="Times New Roman" w:hAnsi="Times New Roman"/>
                <w:sz w:val="18"/>
                <w:szCs w:val="18"/>
              </w:rPr>
            </w:pPr>
            <w:r>
              <w:rPr>
                <w:rFonts w:ascii="Times New Roman" w:hAnsi="Times New Roman"/>
                <w:sz w:val="18"/>
                <w:szCs w:val="18"/>
              </w:rPr>
              <w:t>一定的英语听、说、写能力；</w:t>
            </w:r>
          </w:p>
          <w:p>
            <w:pPr>
              <w:rPr>
                <w:rFonts w:ascii="Times New Roman" w:hAnsi="Times New Roman"/>
                <w:sz w:val="18"/>
                <w:szCs w:val="18"/>
              </w:rPr>
            </w:pPr>
            <w:r>
              <w:rPr>
                <w:rFonts w:ascii="Times New Roman" w:hAnsi="Times New Roman"/>
                <w:sz w:val="18"/>
                <w:szCs w:val="18"/>
              </w:rPr>
              <w:t>熟练的计算机操作能力。</w:t>
            </w:r>
          </w:p>
        </w:tc>
        <w:tc>
          <w:tcPr>
            <w:tcW w:w="3142" w:type="dxa"/>
            <w:vAlign w:val="center"/>
          </w:tcPr>
          <w:p>
            <w:pPr>
              <w:rPr>
                <w:rFonts w:ascii="Times New Roman" w:hAnsi="Times New Roman"/>
                <w:sz w:val="18"/>
                <w:szCs w:val="18"/>
              </w:rPr>
            </w:pPr>
            <w:r>
              <w:rPr>
                <w:rFonts w:ascii="Times New Roman" w:hAnsi="Times New Roman"/>
                <w:sz w:val="18"/>
                <w:szCs w:val="18"/>
              </w:rPr>
              <w:t>政治理论知识；</w:t>
            </w:r>
          </w:p>
          <w:p>
            <w:pPr>
              <w:rPr>
                <w:rFonts w:ascii="Times New Roman" w:hAnsi="Times New Roman"/>
                <w:sz w:val="18"/>
                <w:szCs w:val="18"/>
              </w:rPr>
            </w:pPr>
            <w:r>
              <w:rPr>
                <w:rFonts w:ascii="Times New Roman" w:hAnsi="Times New Roman"/>
                <w:sz w:val="18"/>
                <w:szCs w:val="18"/>
              </w:rPr>
              <w:t>开放教育理念与学习模式；</w:t>
            </w:r>
          </w:p>
          <w:p>
            <w:pPr>
              <w:rPr>
                <w:rFonts w:ascii="Times New Roman" w:hAnsi="Times New Roman"/>
                <w:sz w:val="18"/>
                <w:szCs w:val="18"/>
              </w:rPr>
            </w:pPr>
            <w:r>
              <w:rPr>
                <w:rFonts w:ascii="Times New Roman" w:hAnsi="Times New Roman"/>
                <w:sz w:val="18"/>
                <w:szCs w:val="18"/>
              </w:rPr>
              <w:t>数学基础知识；</w:t>
            </w:r>
          </w:p>
          <w:p>
            <w:pPr>
              <w:rPr>
                <w:rFonts w:ascii="Times New Roman" w:hAnsi="Times New Roman"/>
                <w:sz w:val="18"/>
                <w:szCs w:val="18"/>
              </w:rPr>
            </w:pPr>
            <w:r>
              <w:rPr>
                <w:rFonts w:ascii="Times New Roman" w:hAnsi="Times New Roman"/>
                <w:sz w:val="18"/>
                <w:szCs w:val="18"/>
              </w:rPr>
              <w:t>基础英语知识；</w:t>
            </w:r>
          </w:p>
          <w:p>
            <w:pPr>
              <w:rPr>
                <w:rFonts w:ascii="Times New Roman" w:hAnsi="Times New Roman"/>
                <w:sz w:val="18"/>
                <w:szCs w:val="18"/>
              </w:rPr>
            </w:pPr>
            <w:r>
              <w:rPr>
                <w:rFonts w:ascii="Times New Roman" w:hAnsi="Times New Roman"/>
                <w:sz w:val="18"/>
                <w:szCs w:val="18"/>
              </w:rPr>
              <w:t>计算机应用基础知识。</w:t>
            </w:r>
          </w:p>
        </w:tc>
        <w:tc>
          <w:tcPr>
            <w:tcW w:w="2273" w:type="dxa"/>
            <w:vAlign w:val="center"/>
          </w:tcPr>
          <w:p>
            <w:pPr>
              <w:rPr>
                <w:rFonts w:ascii="Times New Roman" w:hAnsi="Times New Roman"/>
                <w:sz w:val="18"/>
                <w:szCs w:val="18"/>
              </w:rPr>
            </w:pPr>
            <w:r>
              <w:rPr>
                <w:rFonts w:ascii="Times New Roman" w:hAnsi="Times New Roman"/>
                <w:sz w:val="18"/>
                <w:szCs w:val="18"/>
              </w:rPr>
              <w:t>中国特色社会主义理论体系概论</w:t>
            </w:r>
          </w:p>
          <w:p>
            <w:pPr>
              <w:rPr>
                <w:rFonts w:ascii="Times New Roman" w:hAnsi="Times New Roman"/>
                <w:sz w:val="18"/>
                <w:szCs w:val="18"/>
              </w:rPr>
            </w:pPr>
            <w:r>
              <w:rPr>
                <w:rFonts w:ascii="Times New Roman" w:hAnsi="Times New Roman"/>
                <w:sz w:val="18"/>
                <w:szCs w:val="18"/>
              </w:rPr>
              <w:t>国家开放大学学习指南</w:t>
            </w:r>
          </w:p>
          <w:p>
            <w:pPr>
              <w:rPr>
                <w:rFonts w:ascii="Times New Roman" w:hAnsi="Times New Roman"/>
                <w:sz w:val="18"/>
                <w:szCs w:val="18"/>
              </w:rPr>
            </w:pPr>
            <w:r>
              <w:rPr>
                <w:rFonts w:ascii="Times New Roman" w:hAnsi="Times New Roman"/>
                <w:sz w:val="18"/>
                <w:szCs w:val="18"/>
              </w:rPr>
              <w:t>高等数学基础</w:t>
            </w:r>
          </w:p>
          <w:p>
            <w:pPr>
              <w:rPr>
                <w:rFonts w:ascii="Times New Roman" w:hAnsi="Times New Roman"/>
                <w:sz w:val="18"/>
                <w:szCs w:val="18"/>
              </w:rPr>
            </w:pPr>
            <w:r>
              <w:rPr>
                <w:rFonts w:ascii="Times New Roman" w:hAnsi="Times New Roman"/>
                <w:sz w:val="18"/>
                <w:szCs w:val="18"/>
              </w:rPr>
              <w:t>英语I（1）</w:t>
            </w:r>
          </w:p>
          <w:p>
            <w:pPr>
              <w:rPr>
                <w:rFonts w:ascii="Times New Roman" w:hAnsi="Times New Roman"/>
                <w:sz w:val="18"/>
                <w:szCs w:val="18"/>
              </w:rPr>
            </w:pPr>
            <w:r>
              <w:rPr>
                <w:rFonts w:ascii="Times New Roman" w:hAnsi="Times New Roman"/>
                <w:sz w:val="18"/>
                <w:szCs w:val="18"/>
              </w:rPr>
              <w:t>计算机应用基础等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534" w:type="dxa"/>
            <w:vAlign w:val="center"/>
          </w:tcPr>
          <w:p>
            <w:pPr>
              <w:jc w:val="center"/>
              <w:rPr>
                <w:rFonts w:ascii="Times New Roman" w:hAnsi="Times New Roman"/>
                <w:b/>
                <w:sz w:val="18"/>
                <w:szCs w:val="18"/>
              </w:rPr>
            </w:pPr>
            <w:r>
              <w:rPr>
                <w:rFonts w:ascii="Times New Roman" w:hAnsi="Times New Roman"/>
                <w:b/>
                <w:sz w:val="18"/>
                <w:szCs w:val="18"/>
              </w:rPr>
              <w:t>专业基础课模块</w:t>
            </w:r>
          </w:p>
        </w:tc>
        <w:tc>
          <w:tcPr>
            <w:tcW w:w="2693" w:type="dxa"/>
            <w:vAlign w:val="center"/>
          </w:tcPr>
          <w:p>
            <w:pPr>
              <w:rPr>
                <w:rFonts w:ascii="Times New Roman" w:hAnsi="Times New Roman"/>
                <w:sz w:val="18"/>
                <w:szCs w:val="18"/>
              </w:rPr>
            </w:pPr>
            <w:r>
              <w:rPr>
                <w:rFonts w:ascii="Times New Roman" w:hAnsi="Times New Roman"/>
                <w:sz w:val="18"/>
                <w:szCs w:val="18"/>
              </w:rPr>
              <w:t>熟悉煤矿地质与读图的能力；</w:t>
            </w:r>
          </w:p>
          <w:p>
            <w:pPr>
              <w:rPr>
                <w:rFonts w:ascii="Times New Roman" w:hAnsi="Times New Roman"/>
                <w:sz w:val="18"/>
                <w:szCs w:val="18"/>
              </w:rPr>
            </w:pPr>
            <w:r>
              <w:rPr>
                <w:rFonts w:ascii="Times New Roman" w:hAnsi="Times New Roman"/>
                <w:sz w:val="18"/>
                <w:szCs w:val="18"/>
              </w:rPr>
              <w:t>了解煤矿机电设备的基本情况；</w:t>
            </w:r>
          </w:p>
          <w:p>
            <w:pPr>
              <w:rPr>
                <w:rFonts w:ascii="Times New Roman" w:hAnsi="Times New Roman"/>
                <w:sz w:val="18"/>
                <w:szCs w:val="18"/>
              </w:rPr>
            </w:pPr>
            <w:r>
              <w:rPr>
                <w:rFonts w:ascii="Times New Roman" w:hAnsi="Times New Roman"/>
                <w:sz w:val="18"/>
                <w:szCs w:val="18"/>
              </w:rPr>
              <w:t>利用计算机绘制矿图的能力。</w:t>
            </w:r>
          </w:p>
        </w:tc>
        <w:tc>
          <w:tcPr>
            <w:tcW w:w="3142" w:type="dxa"/>
            <w:vAlign w:val="center"/>
          </w:tcPr>
          <w:p>
            <w:pPr>
              <w:rPr>
                <w:rFonts w:ascii="Times New Roman" w:hAnsi="Times New Roman"/>
                <w:sz w:val="18"/>
                <w:szCs w:val="18"/>
              </w:rPr>
            </w:pPr>
            <w:r>
              <w:rPr>
                <w:rFonts w:ascii="Times New Roman" w:hAnsi="Times New Roman"/>
                <w:sz w:val="18"/>
                <w:szCs w:val="18"/>
              </w:rPr>
              <w:t>煤矿地质基本知识；</w:t>
            </w:r>
          </w:p>
          <w:p>
            <w:pPr>
              <w:rPr>
                <w:rFonts w:ascii="Times New Roman" w:hAnsi="Times New Roman"/>
                <w:sz w:val="18"/>
                <w:szCs w:val="18"/>
              </w:rPr>
            </w:pPr>
            <w:r>
              <w:rPr>
                <w:rFonts w:ascii="Times New Roman" w:hAnsi="Times New Roman"/>
                <w:sz w:val="18"/>
                <w:szCs w:val="18"/>
              </w:rPr>
              <w:t>煤矿机电设备基本知识；</w:t>
            </w:r>
          </w:p>
          <w:p>
            <w:pPr>
              <w:rPr>
                <w:rFonts w:ascii="Times New Roman" w:hAnsi="Times New Roman"/>
                <w:sz w:val="18"/>
                <w:szCs w:val="18"/>
              </w:rPr>
            </w:pPr>
            <w:r>
              <w:rPr>
                <w:rFonts w:ascii="Times New Roman" w:hAnsi="Times New Roman"/>
                <w:sz w:val="18"/>
                <w:szCs w:val="18"/>
              </w:rPr>
              <w:t>工程制图基本知识。</w:t>
            </w:r>
          </w:p>
        </w:tc>
        <w:tc>
          <w:tcPr>
            <w:tcW w:w="2273" w:type="dxa"/>
            <w:vAlign w:val="center"/>
          </w:tcPr>
          <w:p>
            <w:pPr>
              <w:jc w:val="left"/>
              <w:rPr>
                <w:rFonts w:ascii="Times New Roman" w:hAnsi="Times New Roman"/>
                <w:sz w:val="18"/>
                <w:szCs w:val="18"/>
              </w:rPr>
            </w:pPr>
            <w:r>
              <w:rPr>
                <w:rFonts w:ascii="Times New Roman" w:hAnsi="Times New Roman"/>
                <w:sz w:val="18"/>
                <w:szCs w:val="18"/>
              </w:rPr>
              <w:t>机械制图</w:t>
            </w:r>
          </w:p>
          <w:p>
            <w:pPr>
              <w:jc w:val="left"/>
              <w:rPr>
                <w:rFonts w:ascii="Times New Roman" w:hAnsi="Times New Roman"/>
                <w:sz w:val="18"/>
                <w:szCs w:val="18"/>
              </w:rPr>
            </w:pPr>
            <w:r>
              <w:rPr>
                <w:rFonts w:ascii="Times New Roman" w:hAnsi="Times New Roman"/>
                <w:sz w:val="18"/>
                <w:szCs w:val="18"/>
              </w:rPr>
              <w:t>电工电子技术</w:t>
            </w:r>
          </w:p>
          <w:p>
            <w:pPr>
              <w:jc w:val="left"/>
              <w:rPr>
                <w:rFonts w:ascii="Times New Roman" w:hAnsi="Times New Roman"/>
                <w:sz w:val="18"/>
                <w:szCs w:val="18"/>
              </w:rPr>
            </w:pPr>
            <w:r>
              <w:rPr>
                <w:rFonts w:ascii="Times New Roman" w:hAnsi="Times New Roman"/>
                <w:sz w:val="18"/>
                <w:szCs w:val="18"/>
              </w:rPr>
              <w:t>煤矿地质</w:t>
            </w:r>
          </w:p>
          <w:p>
            <w:pPr>
              <w:jc w:val="left"/>
              <w:rPr>
                <w:rFonts w:ascii="Times New Roman" w:hAnsi="Times New Roman"/>
                <w:sz w:val="18"/>
                <w:szCs w:val="18"/>
              </w:rPr>
            </w:pPr>
            <w:r>
              <w:rPr>
                <w:rFonts w:ascii="Times New Roman" w:hAnsi="Times New Roman"/>
                <w:sz w:val="18"/>
                <w:szCs w:val="18"/>
              </w:rPr>
              <w:t>矿图识读与CAD应用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34" w:type="dxa"/>
            <w:vAlign w:val="center"/>
          </w:tcPr>
          <w:p>
            <w:pPr>
              <w:jc w:val="center"/>
              <w:rPr>
                <w:rFonts w:ascii="Times New Roman" w:hAnsi="Times New Roman"/>
                <w:b/>
                <w:sz w:val="18"/>
                <w:szCs w:val="18"/>
              </w:rPr>
            </w:pPr>
            <w:r>
              <w:rPr>
                <w:rFonts w:ascii="Times New Roman" w:hAnsi="Times New Roman"/>
                <w:b/>
                <w:sz w:val="18"/>
                <w:szCs w:val="18"/>
              </w:rPr>
              <w:t>专业核心课模块</w:t>
            </w:r>
          </w:p>
        </w:tc>
        <w:tc>
          <w:tcPr>
            <w:tcW w:w="2693" w:type="dxa"/>
            <w:vAlign w:val="center"/>
          </w:tcPr>
          <w:p>
            <w:pPr>
              <w:rPr>
                <w:rFonts w:ascii="Times New Roman" w:hAnsi="Times New Roman"/>
                <w:sz w:val="18"/>
                <w:szCs w:val="18"/>
              </w:rPr>
            </w:pPr>
            <w:r>
              <w:rPr>
                <w:rFonts w:ascii="Times New Roman" w:hAnsi="Times New Roman"/>
                <w:sz w:val="18"/>
                <w:szCs w:val="18"/>
              </w:rPr>
              <w:t>具有能够进行井巷掘进设计、矿井开采设计、采区设计的能力；</w:t>
            </w:r>
          </w:p>
          <w:p>
            <w:pPr>
              <w:rPr>
                <w:rFonts w:ascii="Times New Roman" w:hAnsi="Times New Roman"/>
                <w:sz w:val="18"/>
                <w:szCs w:val="18"/>
              </w:rPr>
            </w:pPr>
            <w:r>
              <w:rPr>
                <w:rFonts w:ascii="Times New Roman" w:hAnsi="Times New Roman"/>
                <w:sz w:val="18"/>
                <w:szCs w:val="18"/>
              </w:rPr>
              <w:t>掌握煤矿组织生产的能力；</w:t>
            </w:r>
          </w:p>
          <w:p>
            <w:pPr>
              <w:rPr>
                <w:rFonts w:ascii="Times New Roman" w:hAnsi="Times New Roman"/>
                <w:sz w:val="18"/>
                <w:szCs w:val="18"/>
              </w:rPr>
            </w:pPr>
            <w:r>
              <w:rPr>
                <w:rFonts w:ascii="Times New Roman" w:hAnsi="Times New Roman"/>
                <w:sz w:val="18"/>
                <w:szCs w:val="18"/>
              </w:rPr>
              <w:t>掌握开采技术与安全管理的能力；</w:t>
            </w:r>
          </w:p>
          <w:p>
            <w:pPr>
              <w:rPr>
                <w:rFonts w:ascii="Times New Roman" w:hAnsi="Times New Roman"/>
                <w:sz w:val="18"/>
                <w:szCs w:val="18"/>
              </w:rPr>
            </w:pPr>
            <w:r>
              <w:rPr>
                <w:rFonts w:ascii="Times New Roman" w:hAnsi="Times New Roman"/>
                <w:sz w:val="18"/>
                <w:szCs w:val="18"/>
              </w:rPr>
              <w:t>掌握煤矿安全生产的能力。</w:t>
            </w:r>
          </w:p>
        </w:tc>
        <w:tc>
          <w:tcPr>
            <w:tcW w:w="3142" w:type="dxa"/>
            <w:vAlign w:val="center"/>
          </w:tcPr>
          <w:p>
            <w:pPr>
              <w:rPr>
                <w:rFonts w:ascii="Times New Roman" w:hAnsi="Times New Roman"/>
                <w:sz w:val="18"/>
                <w:szCs w:val="18"/>
              </w:rPr>
            </w:pPr>
            <w:r>
              <w:rPr>
                <w:rFonts w:ascii="Times New Roman" w:hAnsi="Times New Roman"/>
                <w:sz w:val="18"/>
                <w:szCs w:val="18"/>
              </w:rPr>
              <w:t>井巷工程的基本理论与知识；</w:t>
            </w:r>
          </w:p>
          <w:p>
            <w:pPr>
              <w:rPr>
                <w:rFonts w:ascii="Times New Roman" w:hAnsi="Times New Roman"/>
                <w:sz w:val="18"/>
                <w:szCs w:val="18"/>
              </w:rPr>
            </w:pPr>
            <w:r>
              <w:rPr>
                <w:rFonts w:ascii="Times New Roman" w:hAnsi="Times New Roman"/>
                <w:sz w:val="18"/>
                <w:szCs w:val="18"/>
              </w:rPr>
              <w:t>煤矿开采设计基本知识；</w:t>
            </w:r>
          </w:p>
          <w:p>
            <w:pPr>
              <w:rPr>
                <w:rFonts w:ascii="Times New Roman" w:hAnsi="Times New Roman"/>
                <w:sz w:val="18"/>
                <w:szCs w:val="18"/>
              </w:rPr>
            </w:pPr>
            <w:r>
              <w:rPr>
                <w:rFonts w:ascii="Times New Roman" w:hAnsi="Times New Roman"/>
                <w:sz w:val="18"/>
                <w:szCs w:val="18"/>
              </w:rPr>
              <w:t>矿压观测与监测预报基本知识；</w:t>
            </w:r>
          </w:p>
          <w:p>
            <w:pPr>
              <w:rPr>
                <w:rFonts w:ascii="Times New Roman" w:hAnsi="Times New Roman"/>
                <w:sz w:val="18"/>
                <w:szCs w:val="18"/>
              </w:rPr>
            </w:pPr>
            <w:r>
              <w:rPr>
                <w:rFonts w:ascii="Times New Roman" w:hAnsi="Times New Roman"/>
                <w:sz w:val="18"/>
                <w:szCs w:val="18"/>
              </w:rPr>
              <w:t>采掘、提升、运输知识；</w:t>
            </w:r>
          </w:p>
          <w:p>
            <w:pPr>
              <w:rPr>
                <w:rFonts w:ascii="Times New Roman" w:hAnsi="Times New Roman"/>
                <w:sz w:val="18"/>
                <w:szCs w:val="18"/>
              </w:rPr>
            </w:pPr>
            <w:r>
              <w:rPr>
                <w:rFonts w:ascii="Times New Roman" w:hAnsi="Times New Roman"/>
                <w:sz w:val="18"/>
                <w:szCs w:val="18"/>
              </w:rPr>
              <w:t>机电、通风知识；</w:t>
            </w:r>
          </w:p>
          <w:p>
            <w:pPr>
              <w:rPr>
                <w:rFonts w:ascii="Times New Roman" w:hAnsi="Times New Roman"/>
                <w:sz w:val="18"/>
                <w:szCs w:val="18"/>
              </w:rPr>
            </w:pPr>
            <w:r>
              <w:rPr>
                <w:rFonts w:ascii="Times New Roman" w:hAnsi="Times New Roman"/>
                <w:sz w:val="18"/>
                <w:szCs w:val="18"/>
              </w:rPr>
              <w:t>安全监测监控系统的基本知识。</w:t>
            </w:r>
          </w:p>
        </w:tc>
        <w:tc>
          <w:tcPr>
            <w:tcW w:w="2273" w:type="dxa"/>
            <w:vAlign w:val="center"/>
          </w:tcPr>
          <w:p>
            <w:pPr>
              <w:jc w:val="left"/>
              <w:rPr>
                <w:rFonts w:ascii="Times New Roman" w:hAnsi="Times New Roman"/>
                <w:sz w:val="18"/>
                <w:szCs w:val="18"/>
              </w:rPr>
            </w:pPr>
            <w:r>
              <w:rPr>
                <w:rFonts w:ascii="Segoe UI Symbol" w:hAnsi="Segoe UI Symbol" w:cs="Segoe UI Symbol"/>
                <w:sz w:val="18"/>
                <w:szCs w:val="18"/>
              </w:rPr>
              <w:t>★</w:t>
            </w:r>
            <w:r>
              <w:rPr>
                <w:rFonts w:ascii="Times New Roman" w:hAnsi="Times New Roman"/>
                <w:sz w:val="18"/>
                <w:szCs w:val="18"/>
              </w:rPr>
              <w:t>井巷工程（专）</w:t>
            </w:r>
          </w:p>
          <w:p>
            <w:pPr>
              <w:jc w:val="left"/>
              <w:rPr>
                <w:rFonts w:ascii="Times New Roman" w:hAnsi="Times New Roman"/>
                <w:sz w:val="18"/>
                <w:szCs w:val="18"/>
              </w:rPr>
            </w:pPr>
            <w:r>
              <w:rPr>
                <w:rFonts w:ascii="Segoe UI Symbol" w:hAnsi="Segoe UI Symbol" w:cs="Segoe UI Symbol"/>
                <w:sz w:val="18"/>
                <w:szCs w:val="18"/>
              </w:rPr>
              <w:t>★</w:t>
            </w:r>
            <w:r>
              <w:rPr>
                <w:rFonts w:ascii="Times New Roman" w:hAnsi="Times New Roman"/>
                <w:sz w:val="18"/>
                <w:szCs w:val="18"/>
              </w:rPr>
              <w:t>煤矿开采（专）</w:t>
            </w:r>
          </w:p>
          <w:p>
            <w:pPr>
              <w:jc w:val="left"/>
              <w:rPr>
                <w:rFonts w:ascii="Times New Roman" w:hAnsi="Times New Roman"/>
                <w:sz w:val="18"/>
                <w:szCs w:val="18"/>
              </w:rPr>
            </w:pPr>
            <w:r>
              <w:rPr>
                <w:rFonts w:ascii="Segoe UI Symbol" w:hAnsi="Segoe UI Symbol" w:cs="Segoe UI Symbol"/>
                <w:sz w:val="18"/>
                <w:szCs w:val="18"/>
              </w:rPr>
              <w:t>★</w:t>
            </w:r>
            <w:r>
              <w:rPr>
                <w:rFonts w:ascii="Times New Roman" w:hAnsi="Times New Roman"/>
                <w:sz w:val="18"/>
                <w:szCs w:val="18"/>
              </w:rPr>
              <w:t>矿山压力与岩层控制（专）</w:t>
            </w:r>
          </w:p>
          <w:p>
            <w:pPr>
              <w:jc w:val="left"/>
              <w:rPr>
                <w:rFonts w:ascii="Times New Roman" w:hAnsi="Times New Roman"/>
                <w:sz w:val="18"/>
                <w:szCs w:val="18"/>
              </w:rPr>
            </w:pPr>
            <w:r>
              <w:rPr>
                <w:rFonts w:ascii="Times New Roman" w:hAnsi="Times New Roman"/>
                <w:sz w:val="18"/>
                <w:szCs w:val="18"/>
              </w:rPr>
              <w:t>采掘机械（专）</w:t>
            </w:r>
          </w:p>
          <w:p>
            <w:pPr>
              <w:jc w:val="left"/>
              <w:rPr>
                <w:rFonts w:ascii="Times New Roman" w:hAnsi="Times New Roman"/>
                <w:sz w:val="18"/>
                <w:szCs w:val="18"/>
              </w:rPr>
            </w:pPr>
            <w:r>
              <w:rPr>
                <w:rFonts w:ascii="Times New Roman" w:hAnsi="Times New Roman"/>
                <w:sz w:val="18"/>
                <w:szCs w:val="18"/>
              </w:rPr>
              <w:t>矿井运输提升（专）</w:t>
            </w:r>
          </w:p>
          <w:p>
            <w:pPr>
              <w:jc w:val="left"/>
              <w:rPr>
                <w:rFonts w:ascii="Times New Roman" w:hAnsi="Times New Roman"/>
                <w:sz w:val="18"/>
                <w:szCs w:val="18"/>
              </w:rPr>
            </w:pPr>
            <w:r>
              <w:rPr>
                <w:rFonts w:ascii="Times New Roman" w:hAnsi="Times New Roman"/>
                <w:sz w:val="18"/>
                <w:szCs w:val="18"/>
              </w:rPr>
              <w:t>矿井通风与安全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534" w:type="dxa"/>
            <w:vAlign w:val="center"/>
          </w:tcPr>
          <w:p>
            <w:pPr>
              <w:jc w:val="center"/>
              <w:rPr>
                <w:rFonts w:ascii="Times New Roman" w:hAnsi="Times New Roman"/>
                <w:b/>
                <w:sz w:val="18"/>
                <w:szCs w:val="18"/>
              </w:rPr>
            </w:pPr>
            <w:r>
              <w:rPr>
                <w:rFonts w:ascii="Times New Roman" w:hAnsi="Times New Roman"/>
                <w:b/>
                <w:sz w:val="18"/>
                <w:szCs w:val="18"/>
              </w:rPr>
              <w:t>综合实践模块</w:t>
            </w:r>
          </w:p>
        </w:tc>
        <w:tc>
          <w:tcPr>
            <w:tcW w:w="2693" w:type="dxa"/>
            <w:vAlign w:val="center"/>
          </w:tcPr>
          <w:p>
            <w:pPr>
              <w:rPr>
                <w:rFonts w:ascii="Times New Roman" w:hAnsi="Times New Roman"/>
                <w:sz w:val="18"/>
                <w:szCs w:val="18"/>
              </w:rPr>
            </w:pPr>
            <w:r>
              <w:rPr>
                <w:rFonts w:ascii="Times New Roman" w:hAnsi="Times New Roman"/>
                <w:sz w:val="18"/>
                <w:szCs w:val="18"/>
              </w:rPr>
              <w:t>理论与实践相结合的能力</w:t>
            </w:r>
          </w:p>
        </w:tc>
        <w:tc>
          <w:tcPr>
            <w:tcW w:w="3142" w:type="dxa"/>
            <w:vAlign w:val="center"/>
          </w:tcPr>
          <w:p>
            <w:pPr>
              <w:rPr>
                <w:rFonts w:ascii="Times New Roman" w:hAnsi="Times New Roman"/>
                <w:sz w:val="18"/>
                <w:szCs w:val="18"/>
              </w:rPr>
            </w:pPr>
            <w:r>
              <w:rPr>
                <w:rFonts w:ascii="Times New Roman" w:hAnsi="Times New Roman"/>
                <w:sz w:val="18"/>
                <w:szCs w:val="18"/>
              </w:rPr>
              <w:t>上述所应掌握的知识</w:t>
            </w:r>
          </w:p>
        </w:tc>
        <w:tc>
          <w:tcPr>
            <w:tcW w:w="2273" w:type="dxa"/>
            <w:vAlign w:val="center"/>
          </w:tcPr>
          <w:p>
            <w:pPr>
              <w:jc w:val="left"/>
              <w:rPr>
                <w:rFonts w:ascii="Times New Roman" w:hAnsi="Times New Roman"/>
                <w:sz w:val="18"/>
                <w:szCs w:val="18"/>
              </w:rPr>
            </w:pPr>
            <w:r>
              <w:rPr>
                <w:rFonts w:ascii="Segoe UI Symbol" w:hAnsi="Segoe UI Symbol" w:cs="Segoe UI Symbol"/>
                <w:sz w:val="18"/>
                <w:szCs w:val="18"/>
              </w:rPr>
              <w:t>★</w:t>
            </w:r>
            <w:r>
              <w:rPr>
                <w:rFonts w:ascii="Times New Roman" w:hAnsi="Times New Roman"/>
                <w:sz w:val="18"/>
                <w:szCs w:val="18"/>
              </w:rPr>
              <w:t>地质实习（专）</w:t>
            </w:r>
          </w:p>
          <w:p>
            <w:pPr>
              <w:jc w:val="left"/>
              <w:rPr>
                <w:rFonts w:ascii="Times New Roman" w:hAnsi="Times New Roman"/>
                <w:sz w:val="18"/>
                <w:szCs w:val="18"/>
              </w:rPr>
            </w:pPr>
            <w:r>
              <w:rPr>
                <w:rFonts w:ascii="Times New Roman" w:hAnsi="Times New Roman"/>
                <w:sz w:val="18"/>
                <w:szCs w:val="18"/>
              </w:rPr>
              <w:t>测量实习</w:t>
            </w:r>
          </w:p>
          <w:p>
            <w:pPr>
              <w:jc w:val="left"/>
              <w:rPr>
                <w:rFonts w:ascii="Times New Roman" w:hAnsi="Times New Roman"/>
                <w:sz w:val="18"/>
                <w:szCs w:val="18"/>
              </w:rPr>
            </w:pPr>
            <w:r>
              <w:rPr>
                <w:rFonts w:ascii="Segoe UI Symbol" w:hAnsi="Segoe UI Symbol" w:cs="Segoe UI Symbol"/>
                <w:sz w:val="18"/>
                <w:szCs w:val="18"/>
              </w:rPr>
              <w:t>★</w:t>
            </w:r>
            <w:r>
              <w:rPr>
                <w:rFonts w:ascii="Times New Roman" w:hAnsi="Times New Roman"/>
                <w:sz w:val="18"/>
                <w:szCs w:val="18"/>
              </w:rPr>
              <w:t>矿图实训（专）</w:t>
            </w:r>
          </w:p>
          <w:p>
            <w:pPr>
              <w:jc w:val="left"/>
              <w:rPr>
                <w:rFonts w:ascii="Times New Roman" w:hAnsi="Times New Roman"/>
                <w:sz w:val="18"/>
                <w:szCs w:val="18"/>
              </w:rPr>
            </w:pPr>
            <w:r>
              <w:rPr>
                <w:rFonts w:ascii="Times New Roman" w:hAnsi="Times New Roman"/>
                <w:sz w:val="18"/>
                <w:szCs w:val="18"/>
              </w:rPr>
              <w:t>井巷工程课程设计（专）</w:t>
            </w:r>
          </w:p>
          <w:p>
            <w:pPr>
              <w:jc w:val="left"/>
              <w:rPr>
                <w:rFonts w:ascii="Times New Roman" w:hAnsi="Times New Roman"/>
                <w:sz w:val="18"/>
                <w:szCs w:val="18"/>
              </w:rPr>
            </w:pPr>
            <w:r>
              <w:rPr>
                <w:rFonts w:ascii="Times New Roman" w:hAnsi="Times New Roman"/>
                <w:sz w:val="18"/>
                <w:szCs w:val="18"/>
              </w:rPr>
              <w:t>矿井通风与安全课程设计（专）</w:t>
            </w:r>
          </w:p>
          <w:p>
            <w:pPr>
              <w:jc w:val="left"/>
              <w:rPr>
                <w:rFonts w:ascii="Times New Roman" w:hAnsi="Times New Roman"/>
                <w:sz w:val="18"/>
                <w:szCs w:val="18"/>
              </w:rPr>
            </w:pPr>
            <w:r>
              <w:rPr>
                <w:rFonts w:ascii="Times New Roman" w:hAnsi="Times New Roman"/>
                <w:sz w:val="18"/>
                <w:szCs w:val="18"/>
              </w:rPr>
              <w:t>实训实习和毕业设计</w:t>
            </w:r>
          </w:p>
        </w:tc>
      </w:tr>
    </w:tbl>
    <w:p>
      <w:pPr>
        <w:pStyle w:val="2"/>
        <w:spacing w:beforeLines="50" w:after="0"/>
        <w:ind w:firstLine="602"/>
        <w:rPr>
          <w:rFonts w:ascii="Times New Roman" w:hAnsi="Times New Roman" w:cs="Times New Roman"/>
          <w:sz w:val="30"/>
          <w:szCs w:val="30"/>
        </w:rPr>
      </w:pPr>
      <w:bookmarkStart w:id="26" w:name="_Toc26519"/>
      <w:bookmarkStart w:id="27" w:name="_Toc423019103"/>
      <w:r>
        <w:rPr>
          <w:rFonts w:ascii="Times New Roman" w:hAnsi="Times New Roman" w:cs="Times New Roman"/>
          <w:sz w:val="30"/>
          <w:szCs w:val="30"/>
        </w:rPr>
        <w:t>二、专业教学准备</w:t>
      </w:r>
      <w:bookmarkEnd w:id="26"/>
      <w:bookmarkEnd w:id="27"/>
    </w:p>
    <w:p>
      <w:pPr>
        <w:spacing w:line="500" w:lineRule="exact"/>
        <w:ind w:firstLine="600" w:firstLineChars="200"/>
        <w:outlineLvl w:val="1"/>
        <w:rPr>
          <w:rFonts w:ascii="仿宋_GB2312" w:hAnsi="Times New Roman" w:eastAsia="仿宋_GB2312"/>
          <w:sz w:val="30"/>
          <w:szCs w:val="30"/>
        </w:rPr>
      </w:pPr>
      <w:bookmarkStart w:id="28" w:name="_Toc3961"/>
      <w:bookmarkStart w:id="29" w:name="_Toc423019104"/>
      <w:r>
        <w:rPr>
          <w:rFonts w:hint="eastAsia" w:ascii="仿宋_GB2312" w:hAnsi="Times New Roman" w:eastAsia="仿宋_GB2312"/>
          <w:sz w:val="30"/>
          <w:szCs w:val="30"/>
        </w:rPr>
        <w:t>（一）条件准备</w:t>
      </w:r>
      <w:bookmarkEnd w:id="28"/>
      <w:bookmarkEnd w:id="29"/>
    </w:p>
    <w:p>
      <w:pPr>
        <w:ind w:firstLine="600" w:firstLineChars="200"/>
        <w:rPr>
          <w:rFonts w:ascii="仿宋_GB2312" w:hAnsi="Times New Roman" w:eastAsia="仿宋_GB2312"/>
          <w:sz w:val="30"/>
          <w:szCs w:val="30"/>
        </w:rPr>
      </w:pPr>
      <w:r>
        <w:rPr>
          <w:rFonts w:ascii="仿宋_GB2312" w:hAnsi="Times New Roman" w:eastAsia="仿宋_GB2312"/>
          <w:sz w:val="30"/>
          <w:szCs w:val="30"/>
        </w:rPr>
        <w:t>1．师资</w:t>
      </w:r>
    </w:p>
    <w:p>
      <w:pPr>
        <w:ind w:firstLine="600" w:firstLineChars="200"/>
        <w:rPr>
          <w:rFonts w:ascii="仿宋_GB2312" w:hAnsi="Times New Roman" w:eastAsia="仿宋_GB2312"/>
          <w:sz w:val="30"/>
          <w:szCs w:val="30"/>
        </w:rPr>
      </w:pPr>
      <w:r>
        <w:rPr>
          <w:rFonts w:ascii="仿宋_GB2312" w:hAnsi="Times New Roman" w:eastAsia="仿宋_GB2312"/>
          <w:sz w:val="30"/>
          <w:szCs w:val="30"/>
        </w:rPr>
        <w:t>煤炭学院和各学习分中心在选聘课程主讲教师时，将从多所院校多个相关学科中选拔行业内优秀师资，尽量避免师资队伍学科背景的单一性，并注重引入具有从业经验、熟悉煤矿企业生产环节，且对煤矿井下生产具有丰富经验的业内专家参与到核心课程教学及实训环节的指导工作。</w:t>
      </w:r>
    </w:p>
    <w:p>
      <w:pPr>
        <w:ind w:firstLine="600" w:firstLineChars="200"/>
        <w:rPr>
          <w:rFonts w:ascii="仿宋_GB2312" w:hAnsi="Times New Roman" w:eastAsia="仿宋_GB2312"/>
          <w:sz w:val="30"/>
          <w:szCs w:val="30"/>
        </w:rPr>
      </w:pPr>
      <w:r>
        <w:rPr>
          <w:rFonts w:ascii="仿宋_GB2312" w:hAnsi="Times New Roman" w:eastAsia="仿宋_GB2312"/>
          <w:sz w:val="30"/>
          <w:szCs w:val="30"/>
        </w:rPr>
        <w:t>1）煤炭学院</w:t>
      </w:r>
    </w:p>
    <w:p>
      <w:pPr>
        <w:ind w:firstLine="600" w:firstLineChars="200"/>
        <w:rPr>
          <w:rFonts w:ascii="仿宋_GB2312" w:hAnsi="Times New Roman" w:eastAsia="仿宋_GB2312"/>
          <w:sz w:val="30"/>
          <w:szCs w:val="30"/>
        </w:rPr>
      </w:pPr>
      <w:r>
        <w:rPr>
          <w:rFonts w:ascii="仿宋_GB2312" w:hAnsi="Times New Roman" w:eastAsia="仿宋_GB2312"/>
          <w:sz w:val="30"/>
          <w:szCs w:val="30"/>
        </w:rPr>
        <w:t>煤炭学院采取专业负责人制，本专业配备1名专业负责人，专业负责人应具有本学科或相关学科高级专业技术职务</w:t>
      </w:r>
      <w:r>
        <w:rPr>
          <w:rFonts w:hint="eastAsia" w:ascii="仿宋_GB2312" w:hAnsi="Times New Roman" w:eastAsia="仿宋_GB2312"/>
          <w:sz w:val="30"/>
          <w:szCs w:val="30"/>
        </w:rPr>
        <w:t>，</w:t>
      </w:r>
      <w:r>
        <w:rPr>
          <w:rFonts w:ascii="仿宋_GB2312" w:hAnsi="Times New Roman" w:eastAsia="仿宋_GB2312"/>
          <w:sz w:val="30"/>
          <w:szCs w:val="30"/>
        </w:rPr>
        <w:t>或具有硕士以上</w:t>
      </w:r>
      <w:r>
        <w:rPr>
          <w:rFonts w:hint="eastAsia" w:ascii="仿宋_GB2312" w:hAnsi="Times New Roman" w:eastAsia="仿宋_GB2312"/>
          <w:sz w:val="30"/>
          <w:szCs w:val="30"/>
        </w:rPr>
        <w:t>（含）学位及三年以上高校（科研机构）工作经历，煤矿开采技术专业配备专业负责人信息如下：</w:t>
      </w:r>
    </w:p>
    <w:p>
      <w:pPr>
        <w:ind w:firstLine="600" w:firstLineChars="200"/>
        <w:rPr>
          <w:rFonts w:ascii="仿宋_GB2312" w:hAnsi="Times New Roman" w:eastAsia="仿宋_GB2312"/>
          <w:sz w:val="30"/>
          <w:szCs w:val="30"/>
        </w:rPr>
      </w:pPr>
      <w:r>
        <w:rPr>
          <w:rFonts w:ascii="仿宋_GB2312" w:hAnsi="Times New Roman" w:eastAsia="仿宋_GB2312"/>
          <w:sz w:val="30"/>
          <w:szCs w:val="30"/>
        </w:rPr>
        <w:t>武龙飞</w:t>
      </w:r>
      <w:r>
        <w:rPr>
          <w:rFonts w:hint="eastAsia" w:ascii="仿宋_GB2312" w:hAnsi="Times New Roman" w:eastAsia="仿宋_GB2312"/>
          <w:sz w:val="30"/>
          <w:szCs w:val="30"/>
        </w:rPr>
        <w:t>，</w:t>
      </w:r>
      <w:r>
        <w:rPr>
          <w:rFonts w:ascii="仿宋_GB2312" w:hAnsi="Times New Roman" w:eastAsia="仿宋_GB2312"/>
          <w:sz w:val="30"/>
          <w:szCs w:val="30"/>
        </w:rPr>
        <w:t>男</w:t>
      </w:r>
      <w:r>
        <w:rPr>
          <w:rFonts w:hint="eastAsia" w:ascii="仿宋_GB2312" w:hAnsi="Times New Roman" w:eastAsia="仿宋_GB2312"/>
          <w:sz w:val="30"/>
          <w:szCs w:val="30"/>
        </w:rPr>
        <w:t>，</w:t>
      </w:r>
      <w:r>
        <w:rPr>
          <w:rFonts w:ascii="仿宋_GB2312" w:hAnsi="Times New Roman" w:eastAsia="仿宋_GB2312"/>
          <w:sz w:val="30"/>
          <w:szCs w:val="30"/>
        </w:rPr>
        <w:t>中国矿业大学采矿工程专业毕业，研究生学历，工程师，负责中国煤炭教育网教育培训资源策划、实施，行业内有7年的工作经验，发表学术论文6篇。</w:t>
      </w:r>
    </w:p>
    <w:p>
      <w:pPr>
        <w:ind w:firstLine="600" w:firstLineChars="200"/>
        <w:rPr>
          <w:rFonts w:ascii="仿宋_GB2312" w:hAnsi="Times New Roman" w:eastAsia="仿宋_GB2312"/>
          <w:sz w:val="30"/>
          <w:szCs w:val="30"/>
        </w:rPr>
      </w:pPr>
      <w:r>
        <w:rPr>
          <w:rFonts w:ascii="仿宋_GB2312" w:hAnsi="Times New Roman" w:eastAsia="仿宋_GB2312"/>
          <w:sz w:val="30"/>
          <w:szCs w:val="30"/>
        </w:rPr>
        <w:t>2）学习分中心</w:t>
      </w:r>
    </w:p>
    <w:p>
      <w:pPr>
        <w:ind w:firstLine="600" w:firstLineChars="200"/>
        <w:rPr>
          <w:rFonts w:ascii="仿宋_GB2312" w:hAnsi="Times New Roman" w:eastAsia="仿宋_GB2312"/>
          <w:sz w:val="30"/>
          <w:szCs w:val="30"/>
        </w:rPr>
      </w:pPr>
      <w:r>
        <w:rPr>
          <w:rFonts w:ascii="仿宋_GB2312" w:hAnsi="Times New Roman" w:eastAsia="仿宋_GB2312"/>
          <w:sz w:val="30"/>
          <w:szCs w:val="30"/>
        </w:rPr>
        <w:t>学习分中心应有1名以上同类专业毕业或从事2年以上同类专业教学的专职教师从事教学辅导工作；至少有1名职业技能鉴定考评人员。</w:t>
      </w:r>
    </w:p>
    <w:p>
      <w:pPr>
        <w:ind w:firstLine="600" w:firstLineChars="200"/>
        <w:rPr>
          <w:rFonts w:ascii="仿宋_GB2312" w:hAnsi="Times New Roman" w:eastAsia="仿宋_GB2312"/>
          <w:sz w:val="30"/>
          <w:szCs w:val="30"/>
        </w:rPr>
      </w:pPr>
      <w:r>
        <w:rPr>
          <w:rFonts w:ascii="仿宋_GB2312" w:hAnsi="Times New Roman" w:eastAsia="仿宋_GB2312"/>
          <w:sz w:val="30"/>
          <w:szCs w:val="30"/>
        </w:rPr>
        <w:t>专职教师应有本学科中级专业技术职务及5年以上高校（科研机构）工作经历，或具有硕士学位及2年以上高校（科研机构）工作经历。</w:t>
      </w:r>
    </w:p>
    <w:p>
      <w:pPr>
        <w:ind w:firstLine="600" w:firstLineChars="200"/>
        <w:rPr>
          <w:rFonts w:ascii="仿宋_GB2312" w:hAnsi="Times New Roman" w:eastAsia="仿宋_GB2312"/>
          <w:sz w:val="30"/>
          <w:szCs w:val="30"/>
        </w:rPr>
      </w:pPr>
      <w:r>
        <w:rPr>
          <w:rFonts w:ascii="仿宋_GB2312" w:hAnsi="Times New Roman" w:eastAsia="仿宋_GB2312"/>
          <w:sz w:val="30"/>
          <w:szCs w:val="30"/>
        </w:rPr>
        <w:t>2．实验、实训条件</w:t>
      </w:r>
    </w:p>
    <w:p>
      <w:pPr>
        <w:ind w:firstLine="600" w:firstLineChars="200"/>
        <w:rPr>
          <w:rFonts w:ascii="仿宋_GB2312" w:hAnsi="Times New Roman" w:eastAsia="仿宋_GB2312"/>
          <w:sz w:val="30"/>
          <w:szCs w:val="30"/>
        </w:rPr>
      </w:pPr>
      <w:r>
        <w:rPr>
          <w:rFonts w:ascii="仿宋_GB2312" w:hAnsi="Times New Roman" w:eastAsia="仿宋_GB2312"/>
          <w:sz w:val="30"/>
          <w:szCs w:val="30"/>
        </w:rPr>
        <w:t>煤炭学院将与煤炭企业建立合作机制，在全国各地建立多个实训基地。实训基地将配备相应的开展煤矿开采技术技能实训的条件，且至少有1名专业教师进行实训指导工作。</w:t>
      </w:r>
    </w:p>
    <w:p>
      <w:pPr>
        <w:ind w:firstLine="600" w:firstLineChars="200"/>
        <w:rPr>
          <w:rFonts w:ascii="仿宋_GB2312" w:hAnsi="Times New Roman" w:eastAsia="仿宋_GB2312"/>
          <w:sz w:val="30"/>
          <w:szCs w:val="30"/>
        </w:rPr>
      </w:pPr>
      <w:r>
        <w:rPr>
          <w:rFonts w:ascii="仿宋_GB2312" w:hAnsi="Times New Roman" w:eastAsia="仿宋_GB2312"/>
          <w:sz w:val="30"/>
          <w:szCs w:val="30"/>
        </w:rPr>
        <w:t>3．教学基本条件</w:t>
      </w:r>
    </w:p>
    <w:p>
      <w:pPr>
        <w:ind w:firstLine="600" w:firstLineChars="200"/>
        <w:rPr>
          <w:rFonts w:ascii="仿宋_GB2312" w:hAnsi="Times New Roman" w:eastAsia="仿宋_GB2312"/>
          <w:sz w:val="30"/>
          <w:szCs w:val="30"/>
        </w:rPr>
      </w:pPr>
      <w:r>
        <w:rPr>
          <w:rFonts w:ascii="仿宋_GB2312" w:hAnsi="Times New Roman" w:eastAsia="仿宋_GB2312"/>
          <w:sz w:val="30"/>
          <w:szCs w:val="30"/>
        </w:rPr>
        <w:t>煤炭学院的各级学习分中心将配备适应开放教育学习使用的各种硬件支撑条件，包括：视听教室，多媒体、网络和计算机机房，语音教室，讨论和辅导教室等；其次在管理上要达到国家开放大学的要求，包括一定数量的专职管理人员、比较完善的教学管理制度与章程、根据国家开放大学要求配备教务管理软件等，并与国家开放大学及其他学习分中心之间保持畅通的信息沟通。</w:t>
      </w:r>
    </w:p>
    <w:p>
      <w:pPr>
        <w:spacing w:line="500" w:lineRule="exact"/>
        <w:ind w:firstLine="600" w:firstLineChars="200"/>
        <w:outlineLvl w:val="1"/>
        <w:rPr>
          <w:rFonts w:ascii="仿宋_GB2312" w:hAnsi="Times New Roman" w:eastAsia="仿宋_GB2312"/>
          <w:sz w:val="30"/>
          <w:szCs w:val="30"/>
        </w:rPr>
      </w:pPr>
      <w:bookmarkStart w:id="30" w:name="_Toc423019105"/>
      <w:bookmarkStart w:id="31" w:name="_Toc29585"/>
      <w:r>
        <w:rPr>
          <w:rFonts w:hint="eastAsia" w:ascii="仿宋_GB2312" w:hAnsi="Times New Roman" w:eastAsia="仿宋_GB2312"/>
          <w:sz w:val="30"/>
          <w:szCs w:val="30"/>
        </w:rPr>
        <w:t>（二）教学方案筹备</w:t>
      </w:r>
      <w:bookmarkEnd w:id="30"/>
      <w:bookmarkEnd w:id="31"/>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1．实施性专业培养方案的制定</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实施性专业培养方案是煤炭学院根据国家开放大学专业培养方案、结合行业发展和本行业学生需要制订的实施性教学方案。实施性专业培养方案包括实施性教学计划（专业规则）和专业教学实施细则。</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实施性教学计划（专业规则）的内容结构与国家开放大学编制的专业教学计划（专业规则）相同，统设课程与国家开放大学专业培养方案保持一致。非统设课程可在国家开放大学教学体制下根据行业特点和实际需要，进行适当的调整。</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2）专业教学实施细则内容包括：专业师资，教学设施，入学教育安排，课程教学和综合实践教学的具体安排，教学支持服务的具体安排，教学检查与评价的安排等。</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2．课程教学大纲的制定</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教学大纲是进行课程教学、考核和教学质量评估的指导性文件，也是编写教材和制作多种媒体教学资源的依据。课程教学大纲包括大纲说明、媒体使用和教学过程建议、教学内容和教学要求等部分。</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统设课程的教学大纲由国家开放大学教务部组织教学部门制定，非统设课程的教学大纲由煤炭学院教务处组织教学部门制定。</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3. 课程教学实施细则（方案）</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课程教学实施细则包括统设课程（含统设必修课程、统设选修课程）教学实施细则（方案）和非统设课程教学实施细则（方案），前者是依据统设课程教学设计方案制定的实施性教学文件。</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课程教学实施细则（方案）一般包括以下内容：各章节教学内容及具体要求，已配置的教学资源及获取渠道，课程教学模式建议，各章节教学内容的导学、自主学习与助学安排，平时作业与课程实践环节的安排及要求，教学支持服务的内容及具体方式，形成性考核内容、要求及具体方式，终结性考试的内容、要求及具体方式等。</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统设课程的教学实施细则（方案）由国家开放大学教学部门负责制定，非统设的教学实施细则（方案）则由煤炭学院负责制定，并在开课前发布。</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4．课程考核说明</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每门课程均提供课程考核说明，它是对考核对象、方式、内容、要求、试卷标准等具体说明，是学生学习、备考的指导性文件。课程考核说明根据教学大纲的基本要求，结合多种媒体教学资源以及开放教育课程考核的特点进行编制。统设课程和非统设课程的考核说明分别由国家开放大学和煤炭学院教学部门编制。</w:t>
      </w:r>
    </w:p>
    <w:p>
      <w:pPr>
        <w:ind w:firstLine="600" w:firstLineChars="200"/>
        <w:outlineLvl w:val="1"/>
        <w:rPr>
          <w:rFonts w:ascii="仿宋_GB2312" w:hAnsi="Times New Roman" w:eastAsia="仿宋_GB2312"/>
          <w:sz w:val="30"/>
          <w:szCs w:val="30"/>
        </w:rPr>
      </w:pPr>
      <w:bookmarkStart w:id="32" w:name="_Toc423019106"/>
      <w:bookmarkStart w:id="33" w:name="_Toc1920"/>
      <w:r>
        <w:rPr>
          <w:rFonts w:hint="eastAsia" w:ascii="仿宋_GB2312" w:hAnsi="Times New Roman" w:eastAsia="仿宋_GB2312"/>
          <w:sz w:val="30"/>
          <w:szCs w:val="30"/>
        </w:rPr>
        <w:t>（三）教学资源准备</w:t>
      </w:r>
      <w:bookmarkEnd w:id="32"/>
      <w:bookmarkEnd w:id="33"/>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1．根据国家开放大学教学资源建设规划，选聘煤炭行业专家和普通高校、职业院校教师担任课程主讲教师，建设统设必修课的多媒体教学资源，主要包括课程大纲、课程讲义、网络课程等资源。</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2．煤炭学院非统设课程应根据远程开放教育特点，选聘有关专家，运用现代教育技术理论、结合行业特点，开展课程设计、教材选用（编写）、多媒体课程制作一体化建设。</w:t>
      </w:r>
    </w:p>
    <w:p>
      <w:pPr>
        <w:ind w:firstLine="600" w:firstLineChars="200"/>
        <w:outlineLvl w:val="1"/>
        <w:rPr>
          <w:rFonts w:ascii="仿宋_GB2312" w:hAnsi="Times New Roman" w:eastAsia="仿宋_GB2312"/>
          <w:sz w:val="30"/>
          <w:szCs w:val="30"/>
        </w:rPr>
      </w:pPr>
      <w:bookmarkStart w:id="34" w:name="_Toc20672"/>
      <w:bookmarkStart w:id="35" w:name="_Toc423019107"/>
      <w:r>
        <w:rPr>
          <w:rFonts w:hint="eastAsia" w:ascii="仿宋_GB2312" w:hAnsi="Times New Roman" w:eastAsia="仿宋_GB2312"/>
          <w:sz w:val="30"/>
          <w:szCs w:val="30"/>
        </w:rPr>
        <w:t>（四）师资培训</w:t>
      </w:r>
      <w:bookmarkEnd w:id="34"/>
      <w:bookmarkEnd w:id="35"/>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1．内容与方式</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师资培训的内容主要包括远程教育理论、现代教育技术、教学设计、专业建设、教学资源建设、教学支持服务、教学管理和教学研究等。</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师资培训采用分级实施的方式进行。国家开放大学主要负责煤炭学院专业和统设课程责任教师的培训，煤炭学院负责所属学习分中心的专业和统设课程责任教师的培训及其他培训。</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2．教研活动</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国家开放大学和国家开放大学煤炭学院组织的教研活动，原则上每个专业每学期不少于1次。学习分中心根据教学工作需要，适时组织专业或课程的教研活动。</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教研活动应有计划地进行。教研活动安排原则上于开学前在国家开放大学在线远程教学平台上发布。开展教研活动的前两周，教研活动组织者在国家开放大学在线平台上公布教研活动的内容及要求，以便参加活动的教师提前做好准备。</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教研活动可采取多种形式，提倡开展网上教研活动。</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3．实训教师及考评员培训</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实训教师可参加煤炭学院统一组织的培训，培训合格者颁发证书；考评员参加人力资源和社会保障部的统一培训，培训合格，由人力资源和社会保障部发给考评员或高级考评员资格证书。</w:t>
      </w:r>
    </w:p>
    <w:p>
      <w:pPr>
        <w:pStyle w:val="2"/>
        <w:spacing w:before="0" w:after="0"/>
        <w:ind w:firstLine="602"/>
        <w:rPr>
          <w:rFonts w:ascii="Times New Roman" w:hAnsi="Times New Roman" w:cs="Times New Roman"/>
          <w:sz w:val="30"/>
          <w:szCs w:val="30"/>
        </w:rPr>
      </w:pPr>
      <w:bookmarkStart w:id="36" w:name="_Toc423019108"/>
      <w:bookmarkStart w:id="37" w:name="_Toc21699"/>
      <w:r>
        <w:rPr>
          <w:rFonts w:ascii="Times New Roman" w:hAnsi="Times New Roman" w:cs="Times New Roman"/>
          <w:sz w:val="30"/>
          <w:szCs w:val="30"/>
        </w:rPr>
        <w:t>三、教学环节与要求</w:t>
      </w:r>
      <w:bookmarkEnd w:id="36"/>
      <w:bookmarkEnd w:id="37"/>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教学过程的落实是开放教育深化教学改革、探索教学模式、保证教学质量的重要环节。煤炭学院及其各学习分中心在教学中，要做好以下工作。</w:t>
      </w:r>
    </w:p>
    <w:p>
      <w:pPr>
        <w:ind w:firstLine="600" w:firstLineChars="200"/>
        <w:outlineLvl w:val="1"/>
        <w:rPr>
          <w:rFonts w:ascii="仿宋_GB2312" w:hAnsi="Times New Roman" w:eastAsia="仿宋_GB2312"/>
          <w:sz w:val="30"/>
          <w:szCs w:val="30"/>
        </w:rPr>
      </w:pPr>
      <w:bookmarkStart w:id="38" w:name="_Toc7330"/>
      <w:bookmarkStart w:id="39" w:name="_Toc423019109"/>
      <w:r>
        <w:rPr>
          <w:rFonts w:hint="eastAsia" w:ascii="仿宋_GB2312" w:hAnsi="Times New Roman" w:eastAsia="仿宋_GB2312"/>
          <w:sz w:val="30"/>
          <w:szCs w:val="30"/>
        </w:rPr>
        <w:t>（一）入学教育</w:t>
      </w:r>
      <w:bookmarkEnd w:id="38"/>
      <w:bookmarkEnd w:id="39"/>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新生入学，应认真组织好入学教育，切实上好“国家开放大学学习指南”课程，使学习者对远程教育的教学特点和学习要求与方式、本专业的课程设置和课程的实施与组织、综合实践教学的要求、学习支持服务等有基本的了解。</w:t>
      </w:r>
    </w:p>
    <w:p>
      <w:pPr>
        <w:ind w:firstLine="600" w:firstLineChars="200"/>
        <w:outlineLvl w:val="1"/>
        <w:rPr>
          <w:rFonts w:ascii="仿宋_GB2312" w:hAnsi="Times New Roman" w:eastAsia="仿宋_GB2312"/>
          <w:sz w:val="30"/>
          <w:szCs w:val="30"/>
        </w:rPr>
      </w:pPr>
      <w:bookmarkStart w:id="40" w:name="_Toc12225"/>
      <w:bookmarkStart w:id="41" w:name="_Toc423019110"/>
      <w:r>
        <w:rPr>
          <w:rFonts w:hint="eastAsia" w:ascii="仿宋_GB2312" w:hAnsi="Times New Roman" w:eastAsia="仿宋_GB2312"/>
          <w:sz w:val="30"/>
          <w:szCs w:val="30"/>
        </w:rPr>
        <w:t>（二）制定学习计划</w:t>
      </w:r>
      <w:bookmarkEnd w:id="40"/>
      <w:bookmarkEnd w:id="41"/>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本专业部分课程有一定先后接续性，为平均学生的学习压力，应指导学生按专业规则表中的课程建议开设学期选课。</w:t>
      </w:r>
    </w:p>
    <w:p>
      <w:pPr>
        <w:ind w:firstLine="600" w:firstLineChars="200"/>
        <w:outlineLvl w:val="1"/>
        <w:rPr>
          <w:rFonts w:ascii="仿宋_GB2312" w:hAnsi="Times New Roman" w:eastAsia="仿宋_GB2312"/>
          <w:sz w:val="30"/>
          <w:szCs w:val="30"/>
        </w:rPr>
      </w:pPr>
      <w:bookmarkStart w:id="42" w:name="_Toc17121"/>
      <w:bookmarkStart w:id="43" w:name="_Toc423019111"/>
      <w:r>
        <w:rPr>
          <w:rFonts w:hint="eastAsia" w:ascii="仿宋_GB2312" w:hAnsi="Times New Roman" w:eastAsia="仿宋_GB2312"/>
          <w:sz w:val="30"/>
          <w:szCs w:val="30"/>
        </w:rPr>
        <w:t>（三）远程教学</w:t>
      </w:r>
      <w:bookmarkEnd w:id="42"/>
      <w:bookmarkEnd w:id="43"/>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1．网络教学</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国家开放大学统设必修课的有关教学文件、课程设计方案、课程辅导文本等在新课开出前提供在网上相应的专业和课程中，期末时有相应的辅导。煤炭学院开设的课程也将安排相应的网上教学资源，引导学生利用网络学习，积极参加网上教学活动。</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 xml:space="preserve">2．远程多媒体教学 </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由煤炭学院开设的考前辅导课，将通过煤炭学院的远程直播系统进行课程直播，各学习分中心可组织学生收看，或接收下来刻录成光盘供学生使用。</w:t>
      </w:r>
    </w:p>
    <w:p>
      <w:pPr>
        <w:ind w:firstLine="600" w:firstLineChars="200"/>
        <w:outlineLvl w:val="1"/>
        <w:rPr>
          <w:rFonts w:ascii="仿宋_GB2312" w:hAnsi="Times New Roman" w:eastAsia="仿宋_GB2312"/>
          <w:sz w:val="30"/>
          <w:szCs w:val="30"/>
        </w:rPr>
      </w:pPr>
      <w:bookmarkStart w:id="44" w:name="_Toc423019112"/>
      <w:bookmarkStart w:id="45" w:name="_Toc15863"/>
      <w:r>
        <w:rPr>
          <w:rFonts w:hint="eastAsia" w:ascii="仿宋_GB2312" w:hAnsi="Times New Roman" w:eastAsia="仿宋_GB2312"/>
          <w:sz w:val="30"/>
          <w:szCs w:val="30"/>
        </w:rPr>
        <w:t>（四）面授辅导</w:t>
      </w:r>
      <w:bookmarkEnd w:id="44"/>
      <w:bookmarkEnd w:id="45"/>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煤炭学院所属各学习分中心的专、兼职辅导教师，应选择学生方便的时间安排到校集中讲解、答疑。集中面授辅导除针对课程的重点、难点进行适量讲解和答疑以外，更应结合学习分中心的实训设备为学生提供实际操作技能训练的机会和指导。面授辅导不提倡系统讲授，应指导学生使用多媒体课程资源，培养学生自学能力。</w:t>
      </w:r>
    </w:p>
    <w:p>
      <w:pPr>
        <w:ind w:firstLine="600" w:firstLineChars="200"/>
        <w:outlineLvl w:val="1"/>
        <w:rPr>
          <w:rFonts w:ascii="仿宋_GB2312" w:hAnsi="Times New Roman" w:eastAsia="仿宋_GB2312"/>
          <w:sz w:val="30"/>
          <w:szCs w:val="30"/>
        </w:rPr>
      </w:pPr>
      <w:bookmarkStart w:id="46" w:name="_Toc423019113"/>
      <w:bookmarkStart w:id="47" w:name="_Toc8577"/>
      <w:r>
        <w:rPr>
          <w:rFonts w:hint="eastAsia" w:ascii="仿宋_GB2312" w:hAnsi="Times New Roman" w:eastAsia="仿宋_GB2312"/>
          <w:sz w:val="30"/>
          <w:szCs w:val="30"/>
        </w:rPr>
        <w:t>（五）实验/实训</w:t>
      </w:r>
      <w:bookmarkEnd w:id="46"/>
      <w:bookmarkEnd w:id="47"/>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鉴于煤矿开采技术实践性较强，技能性训练在煤矿人才培养中占有重要地位，教学实施方案中安排了涵盖职业能力要求的课程实训和毕业实习环节，即综合实践环节。</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综合实践环节是对学生阶段课程学习和总体学习结果的检查和总结，是学生在校学习期间需要完成的实践性环节，是培养学生理论联系实际和锻炼学生独立工作能力的有效手段，把课堂传授的知识与以实践能力、实际经验为主的生产、实践有机结合，从本质上解决学校教育与社会需求脱节的问题，增强学生的社会竞争能力。</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1.课程实训</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课程实训是针对专业基础课程或专业核心课程的知识内容和所应掌握的技能要求而制定的实操训练，学生利用课程实训资料进行反复练习，可掌握职业资格认证课程中的技能要求。</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2.职业技能实训</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本专业的实训课程组合既考虑了前延的采煤工(高级)职业资格知识与能力要求；又考虑了达到本专业（专科）毕业要求后，所应该达到的采煤工(高级)职业资格知识与能力的水平；还考虑了从事煤矿开采设计或技术开发工作所应该具备的基础技能要求。</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综合实践课程由煤炭学院根据国家开放大学制定的实践环节教学大纲组织实施。</w:t>
      </w:r>
    </w:p>
    <w:p>
      <w:pPr>
        <w:ind w:firstLine="600" w:firstLineChars="200"/>
        <w:outlineLvl w:val="1"/>
        <w:rPr>
          <w:rFonts w:ascii="仿宋_GB2312" w:hAnsi="Times New Roman" w:eastAsia="仿宋_GB2312"/>
          <w:sz w:val="30"/>
          <w:szCs w:val="30"/>
        </w:rPr>
      </w:pPr>
      <w:bookmarkStart w:id="48" w:name="_Toc423019114"/>
      <w:bookmarkStart w:id="49" w:name="_Toc25074"/>
      <w:r>
        <w:rPr>
          <w:rFonts w:hint="eastAsia" w:ascii="仿宋_GB2312" w:hAnsi="Times New Roman" w:eastAsia="仿宋_GB2312"/>
          <w:sz w:val="30"/>
          <w:szCs w:val="30"/>
        </w:rPr>
        <w:t>（六）作业与考核</w:t>
      </w:r>
      <w:bookmarkEnd w:id="48"/>
      <w:bookmarkEnd w:id="49"/>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1．平时作业</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按照教学计划（专业规则）课程表的要求，各门课程应至少安排四次平时作业。</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统设必修课的课程作业由国家开放大学统一安排，煤炭学院所属学习分中心可视当地学员的学习情况补充少量作业；其他课程的作业由煤炭学院责任教师安排，可以通过网络或辅导教师等方式加以布置。由煤炭学院所属各学习中心落实本地区的平时作业，并组织作业批改。</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2．课程考核</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课程考核包括形成性考核和终结性考试。课程考核的内容必须符合教学大纲，以基本知识、基本程序和基本技能标准考核为主，同时注意考核学生综合运用所学理论、知识和技能分析解决问题的能力。</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1）形成性考核</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各门课程四次平时作业的成绩即为形成性考核的成绩。</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国家开放大学教学部门负责设计统设课程形成性考核方案，煤炭学院教学部门负责设计非统设课程形成性考核方案。煤炭学院各学习分中心分别根据国家开放大学和煤炭学院制定的形成性考核方案制定实施细则，增强考核的可操作性。</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各教学分中心负责形成性考核的组织实施、成绩初审，煤炭学院负责考核成绩复审，并对考核的组织实施的质量进行监控和检查。国家开放大学负责形成性考核的指导和抽查。</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形成性考核的指导教师或辅导教师由学习中心按照有关规定聘请。</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2）终结性考试</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国家开放大学及其煤炭学院分别负责统设课程和非统设课程终结性考试的试题、答案及评分标准的制定。采取命题组命题的方式，严格按照课程教学大纲、教材和考核说明，结合现代远程开放教育的教学特点，设计考试内容以及试卷的题量、题型、覆盖面和难易程度等。</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国家开放大学负责组织统设必修课程的全国统一考试，煤炭学院负责统设选修课程及非统设课程在本行业区域内的统一考试。</w:t>
      </w:r>
    </w:p>
    <w:p>
      <w:pPr>
        <w:pStyle w:val="2"/>
        <w:spacing w:before="0" w:after="0"/>
        <w:ind w:firstLine="602"/>
        <w:rPr>
          <w:rFonts w:ascii="Times New Roman" w:hAnsi="Times New Roman" w:cs="Times New Roman"/>
          <w:sz w:val="30"/>
          <w:szCs w:val="30"/>
        </w:rPr>
      </w:pPr>
      <w:bookmarkStart w:id="50" w:name="_Toc423019115"/>
      <w:bookmarkStart w:id="51" w:name="_Toc25382"/>
      <w:r>
        <w:rPr>
          <w:rFonts w:ascii="Times New Roman" w:hAnsi="Times New Roman" w:cs="Times New Roman"/>
          <w:sz w:val="30"/>
          <w:szCs w:val="30"/>
        </w:rPr>
        <w:t>四、教学评价与检查</w:t>
      </w:r>
      <w:bookmarkEnd w:id="50"/>
      <w:bookmarkEnd w:id="51"/>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1．教学评价</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教学评价包括学校的教师队伍、教学条件、教学活动、教学过程管理及教学工作绩效等评价。</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国家开放大学负责对煤炭学院的教学评价，煤炭学院负责对所属各学习分中心的教学评价。</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2．教学检查</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教学检查包括教师、教学管理人员和技术人员的配置、培训和职责履行情况；网络多媒体教学设施和实训设施的建设、使用情况；多种媒体教学资源的开发、配置和使用情况；综合实践环节的设计、组织实施和考核等情况；教学支持服务的内容、方式及开展情况；教学全过程和主要教学环节的管理制度建设及执行情况；考点设置、考试组织实施及考风考纪情况等。</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教学检查要坚持综合检查与专项检查相结合，书面材料检查与实地考察、网上检查相结合的原则。煤炭学院及其学习中心要制定教学检查制度，负责教学检查的组织实施。煤炭学院及其学习中心的教学检查由国家开放大学和煤炭学院分别组织实施。</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3．教学反馈</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教学反馈是师生之间、学生之间多向信息交流的过程，是优化教学过程，实现教与学和谐统一的必不可少的环节，它贯穿于教学的全过程。</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教师作为课堂教学活动的组织者、引导者、参与者，通过教学反馈可以了解学生知识掌握、方法获得的情况，也可以检验自己的教学方法和教学效果，从而根据反馈信息及时调整教学进程，提高学生学习效率。</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4．巡教巡考</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国家开放大学负责组织对煤炭学院所属各学习分中心的教学及考试工作进行指导和检查，检查教学过程落实情况、考试情况、毕业论文的组织安排等。</w:t>
      </w:r>
    </w:p>
    <w:p>
      <w:pPr>
        <w:pStyle w:val="2"/>
        <w:spacing w:before="0" w:after="0"/>
        <w:ind w:firstLine="602"/>
        <w:rPr>
          <w:rFonts w:ascii="Times New Roman" w:hAnsi="Times New Roman" w:cs="Times New Roman"/>
          <w:sz w:val="30"/>
          <w:szCs w:val="30"/>
        </w:rPr>
      </w:pPr>
      <w:bookmarkStart w:id="52" w:name="_Toc19682"/>
      <w:bookmarkStart w:id="53" w:name="_Toc423019116"/>
      <w:r>
        <w:rPr>
          <w:rFonts w:ascii="Times New Roman" w:hAnsi="Times New Roman" w:cs="Times New Roman"/>
          <w:sz w:val="30"/>
          <w:szCs w:val="30"/>
        </w:rPr>
        <w:t>五、关于毕业证书</w:t>
      </w:r>
      <w:bookmarkEnd w:id="52"/>
      <w:bookmarkEnd w:id="53"/>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1．达到毕业要求的学生，颁发国家承认的专科毕业证书，并报教育部进行电子注册。毕业要求见《国家开放大学学籍管理办法》的相关规定。</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2．毕业证书申请及发放程序</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1）学生申请毕业并填写《国家开放大学毕业申请表》。</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2）煤炭学院于每年6月15日前将当年1月以前（含1月），11月30日前将当年7月以前（含7月）达到毕业要求的学生数据上报国家开放大学。</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3）国家开放大学于每年6月15日前向1月以前（含1月）达到毕业要求的学生，11月30日前向7月以前（含7月）达到毕业要求的学生颁发毕业证书。</w:t>
      </w:r>
    </w:p>
    <w:p>
      <w:pPr>
        <w:ind w:firstLine="600" w:firstLineChars="200"/>
        <w:rPr>
          <w:rFonts w:ascii="仿宋_GB2312" w:hAnsi="Times New Roman" w:eastAsia="仿宋_GB2312"/>
          <w:sz w:val="30"/>
          <w:szCs w:val="30"/>
        </w:rPr>
      </w:pPr>
      <w:r>
        <w:rPr>
          <w:rFonts w:hint="eastAsia" w:ascii="仿宋_GB2312" w:hAnsi="Times New Roman" w:eastAsia="仿宋_GB2312"/>
          <w:sz w:val="30"/>
          <w:szCs w:val="30"/>
        </w:rPr>
        <w:t>4）国家开放大学每年7月将当年1月、每年12月将当年7月颁发的毕业证书，报教育部进行电子注册。</w:t>
      </w:r>
    </w:p>
    <w:p>
      <w:pPr>
        <w:pStyle w:val="2"/>
        <w:spacing w:beforeLines="50" w:after="0"/>
        <w:ind w:firstLine="602"/>
        <w:rPr>
          <w:rFonts w:ascii="Times New Roman" w:hAnsi="Times New Roman" w:cs="Times New Roman"/>
          <w:sz w:val="30"/>
          <w:szCs w:val="30"/>
        </w:rPr>
      </w:pPr>
      <w:bookmarkStart w:id="54" w:name="_Toc26841"/>
      <w:bookmarkStart w:id="55" w:name="_Toc423019117"/>
      <w:r>
        <w:rPr>
          <w:rFonts w:ascii="Times New Roman" w:hAnsi="Times New Roman" w:cs="Times New Roman"/>
          <w:sz w:val="30"/>
          <w:szCs w:val="30"/>
        </w:rPr>
        <w:t>六、学习成果认证、积累与转换</w:t>
      </w:r>
      <w:bookmarkEnd w:id="54"/>
      <w:bookmarkEnd w:id="55"/>
    </w:p>
    <w:p>
      <w:pPr>
        <w:ind w:firstLine="600" w:firstLineChars="200"/>
        <w:outlineLvl w:val="1"/>
        <w:rPr>
          <w:rFonts w:ascii="仿宋_GB2312" w:hAnsi="Times New Roman" w:eastAsia="仿宋_GB2312"/>
          <w:sz w:val="30"/>
          <w:szCs w:val="30"/>
        </w:rPr>
      </w:pPr>
      <w:bookmarkStart w:id="56" w:name="_Toc423019118"/>
      <w:r>
        <w:rPr>
          <w:rFonts w:hint="eastAsia" w:ascii="仿宋_GB2312" w:hAnsi="Times New Roman" w:eastAsia="仿宋_GB2312"/>
          <w:sz w:val="30"/>
          <w:szCs w:val="30"/>
        </w:rPr>
        <w:t>（一）关于职业资格证书</w:t>
      </w:r>
      <w:bookmarkEnd w:id="56"/>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 xml:space="preserve">1．证书简介 </w:t>
      </w:r>
    </w:p>
    <w:p>
      <w:pPr>
        <w:ind w:firstLine="600" w:firstLineChars="200"/>
        <w:rPr>
          <w:rFonts w:ascii="仿宋_GB2312" w:hAnsi="Times New Roman" w:eastAsia="仿宋_GB2312"/>
          <w:kern w:val="0"/>
          <w:sz w:val="30"/>
          <w:szCs w:val="30"/>
        </w:rPr>
      </w:pPr>
      <w:r>
        <w:rPr>
          <w:rFonts w:hint="eastAsia" w:ascii="仿宋_GB2312" w:hAnsi="Times New Roman" w:eastAsia="仿宋_GB2312"/>
          <w:kern w:val="0"/>
          <w:sz w:val="30"/>
          <w:szCs w:val="30"/>
        </w:rPr>
        <w:t>《采煤工》是根据《</w:t>
      </w:r>
      <w:r>
        <w:rPr>
          <w:rFonts w:hint="eastAsia" w:ascii="仿宋_GB2312" w:hAnsi="Times New Roman" w:eastAsia="仿宋_GB2312"/>
          <w:kern w:val="0"/>
          <w:sz w:val="30"/>
          <w:szCs w:val="30"/>
          <w:lang w:eastAsia="zh-CN"/>
        </w:rPr>
        <w:t>中华人民共和国</w:t>
      </w:r>
      <w:r>
        <w:rPr>
          <w:rFonts w:hint="eastAsia" w:ascii="仿宋_GB2312" w:hAnsi="Times New Roman" w:eastAsia="仿宋_GB2312"/>
          <w:kern w:val="0"/>
          <w:sz w:val="30"/>
          <w:szCs w:val="30"/>
        </w:rPr>
        <w:t>工人技术等级标准（煤炭行业）》设置的职业资格证书，共设五个等级，分别为：初级（国家职业资格五级）、中级（国家职业资格四级）、高级（国家职业资格三级）、技师（国家职业资格二级）、高级技师（国家职业资格一级）。</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《采煤工》证书由国家人力资源和社会保障部实行统一编号、登记、管理和网上查询。由“煤炭工业职业技能鉴定指导中心”负责职业技能鉴定和证书的具体颁发工作。</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《采煤工》（高级工）职业资格证书持有者可从事的主要工作有：采煤工作面相关工作。</w:t>
      </w:r>
    </w:p>
    <w:p>
      <w:pPr>
        <w:widowControl/>
        <w:shd w:val="clear" w:color="auto" w:fill="FFFFFF"/>
        <w:ind w:firstLine="420"/>
        <w:jc w:val="left"/>
        <w:textAlignment w:val="center"/>
        <w:rPr>
          <w:rFonts w:ascii="仿宋_GB2312" w:hAnsi="Times New Roman" w:eastAsia="仿宋_GB2312"/>
          <w:kern w:val="0"/>
          <w:sz w:val="30"/>
          <w:szCs w:val="30"/>
        </w:rPr>
      </w:pPr>
    </w:p>
    <w:p>
      <w:pPr>
        <w:widowControl/>
        <w:shd w:val="clear" w:color="auto" w:fill="FFFFFF"/>
        <w:ind w:firstLine="420"/>
        <w:jc w:val="left"/>
        <w:textAlignment w:val="center"/>
        <w:rPr>
          <w:rFonts w:ascii="仿宋_GB2312" w:hAnsi="Times New Roman" w:eastAsia="仿宋_GB2312"/>
          <w:kern w:val="0"/>
          <w:sz w:val="30"/>
          <w:szCs w:val="30"/>
        </w:rPr>
      </w:pPr>
    </w:p>
    <w:p>
      <w:pPr>
        <w:widowControl/>
        <w:shd w:val="clear" w:color="auto" w:fill="FFFFFF"/>
        <w:ind w:firstLine="420"/>
        <w:jc w:val="left"/>
        <w:textAlignment w:val="center"/>
        <w:rPr>
          <w:rFonts w:ascii="仿宋_GB2312" w:hAnsi="Times New Roman" w:eastAsia="仿宋_GB2312"/>
          <w:kern w:val="0"/>
          <w:sz w:val="30"/>
          <w:szCs w:val="30"/>
        </w:rPr>
      </w:pPr>
    </w:p>
    <w:p>
      <w:pPr>
        <w:widowControl/>
        <w:shd w:val="clear" w:color="auto" w:fill="FFFFFF"/>
        <w:ind w:firstLine="420"/>
        <w:jc w:val="left"/>
        <w:textAlignment w:val="center"/>
        <w:rPr>
          <w:rFonts w:ascii="仿宋_GB2312" w:hAnsi="Times New Roman" w:eastAsia="仿宋_GB2312"/>
          <w:kern w:val="0"/>
          <w:sz w:val="30"/>
          <w:szCs w:val="30"/>
        </w:rPr>
      </w:pPr>
    </w:p>
    <w:p>
      <w:pPr>
        <w:widowControl/>
        <w:numPr>
          <w:ilvl w:val="0"/>
          <w:numId w:val="1"/>
        </w:numPr>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融通规则</w:t>
      </w:r>
    </w:p>
    <w:tbl>
      <w:tblPr>
        <w:tblStyle w:val="21"/>
        <w:tblW w:w="9026"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809"/>
        <w:gridCol w:w="810"/>
        <w:gridCol w:w="810"/>
        <w:gridCol w:w="673"/>
        <w:gridCol w:w="791"/>
        <w:gridCol w:w="832"/>
        <w:gridCol w:w="859"/>
        <w:gridCol w:w="1650"/>
        <w:gridCol w:w="827"/>
        <w:gridCol w:w="965"/>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9026" w:type="dxa"/>
            <w:gridSpan w:val="10"/>
            <w:vAlign w:val="center"/>
          </w:tcPr>
          <w:p>
            <w:pPr>
              <w:spacing w:beforeLines="30" w:afterLines="30"/>
              <w:jc w:val="center"/>
              <w:rPr>
                <w:rFonts w:ascii="Times New Roman" w:hAnsi="Times New Roman"/>
                <w:szCs w:val="21"/>
              </w:rPr>
            </w:pPr>
            <w:r>
              <w:rPr>
                <w:rFonts w:ascii="Times New Roman" w:hAnsi="Times New Roman"/>
                <w:b/>
                <w:kern w:val="0"/>
                <w:szCs w:val="21"/>
              </w:rPr>
              <w:t>学历教育专业（课程）与非学历证书双向互认</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3102" w:type="dxa"/>
            <w:gridSpan w:val="4"/>
            <w:tcBorders>
              <w:right w:val="single" w:color="auto" w:sz="4" w:space="0"/>
            </w:tcBorders>
            <w:vAlign w:val="center"/>
          </w:tcPr>
          <w:p>
            <w:pPr>
              <w:spacing w:beforeLines="30" w:afterLines="30"/>
              <w:jc w:val="center"/>
              <w:rPr>
                <w:rFonts w:ascii="Times New Roman" w:hAnsi="Times New Roman"/>
                <w:sz w:val="18"/>
                <w:szCs w:val="18"/>
              </w:rPr>
            </w:pPr>
            <w:bookmarkStart w:id="57" w:name="OLE_LINK5"/>
            <w:bookmarkStart w:id="58" w:name="OLE_LINK6"/>
            <w:r>
              <w:rPr>
                <w:rFonts w:ascii="Times New Roman" w:hAnsi="Times New Roman"/>
                <w:sz w:val="18"/>
                <w:szCs w:val="18"/>
              </w:rPr>
              <w:t>非学历教育学习成果</w:t>
            </w:r>
          </w:p>
        </w:tc>
        <w:tc>
          <w:tcPr>
            <w:tcW w:w="5924" w:type="dxa"/>
            <w:gridSpan w:val="6"/>
            <w:tcBorders>
              <w:left w:val="single" w:color="auto" w:sz="4" w:space="0"/>
            </w:tcBorders>
            <w:vAlign w:val="center"/>
          </w:tcPr>
          <w:p>
            <w:pPr>
              <w:spacing w:beforeLines="30" w:afterLines="30"/>
              <w:jc w:val="center"/>
              <w:rPr>
                <w:rFonts w:ascii="Times New Roman" w:hAnsi="Times New Roman"/>
                <w:sz w:val="18"/>
                <w:szCs w:val="18"/>
              </w:rPr>
            </w:pPr>
            <w:r>
              <w:rPr>
                <w:rFonts w:ascii="Times New Roman" w:hAnsi="Times New Roman"/>
                <w:sz w:val="18"/>
                <w:szCs w:val="18"/>
              </w:rPr>
              <w:t>学历教育学习成果</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809" w:type="dxa"/>
            <w:vAlign w:val="center"/>
          </w:tcPr>
          <w:p>
            <w:pPr>
              <w:spacing w:beforeLines="30" w:afterLines="30"/>
              <w:jc w:val="center"/>
              <w:rPr>
                <w:rFonts w:ascii="Times New Roman" w:hAnsi="Times New Roman"/>
                <w:sz w:val="18"/>
                <w:szCs w:val="18"/>
              </w:rPr>
            </w:pPr>
            <w:r>
              <w:rPr>
                <w:rFonts w:ascii="Times New Roman" w:hAnsi="Times New Roman"/>
                <w:sz w:val="18"/>
                <w:szCs w:val="18"/>
              </w:rPr>
              <w:t>证书名称</w:t>
            </w:r>
          </w:p>
        </w:tc>
        <w:tc>
          <w:tcPr>
            <w:tcW w:w="810" w:type="dxa"/>
            <w:vAlign w:val="center"/>
          </w:tcPr>
          <w:p>
            <w:pPr>
              <w:spacing w:beforeLines="30" w:afterLines="30"/>
              <w:jc w:val="center"/>
              <w:rPr>
                <w:rFonts w:ascii="Times New Roman" w:hAnsi="Times New Roman"/>
                <w:sz w:val="18"/>
                <w:szCs w:val="18"/>
              </w:rPr>
            </w:pPr>
            <w:r>
              <w:rPr>
                <w:rFonts w:ascii="Times New Roman" w:hAnsi="Times New Roman"/>
                <w:sz w:val="18"/>
                <w:szCs w:val="18"/>
              </w:rPr>
              <w:t>证书</w:t>
            </w:r>
          </w:p>
          <w:p>
            <w:pPr>
              <w:spacing w:beforeLines="30" w:afterLines="30"/>
              <w:jc w:val="center"/>
              <w:rPr>
                <w:rFonts w:ascii="Times New Roman" w:hAnsi="Times New Roman"/>
                <w:sz w:val="18"/>
                <w:szCs w:val="18"/>
              </w:rPr>
            </w:pPr>
            <w:r>
              <w:rPr>
                <w:rFonts w:ascii="Times New Roman" w:hAnsi="Times New Roman"/>
                <w:sz w:val="18"/>
                <w:szCs w:val="18"/>
              </w:rPr>
              <w:t>等级</w:t>
            </w:r>
          </w:p>
        </w:tc>
        <w:tc>
          <w:tcPr>
            <w:tcW w:w="810" w:type="dxa"/>
            <w:tcBorders>
              <w:right w:val="single" w:color="auto" w:sz="4" w:space="0"/>
            </w:tcBorders>
            <w:vAlign w:val="center"/>
          </w:tcPr>
          <w:p>
            <w:pPr>
              <w:spacing w:beforeLines="30" w:afterLines="30"/>
              <w:jc w:val="center"/>
              <w:rPr>
                <w:rFonts w:ascii="Times New Roman" w:hAnsi="Times New Roman"/>
                <w:sz w:val="18"/>
                <w:szCs w:val="18"/>
              </w:rPr>
            </w:pPr>
            <w:r>
              <w:rPr>
                <w:rFonts w:ascii="Times New Roman" w:hAnsi="Times New Roman"/>
                <w:sz w:val="18"/>
                <w:szCs w:val="18"/>
              </w:rPr>
              <w:t>颁证</w:t>
            </w:r>
          </w:p>
          <w:p>
            <w:pPr>
              <w:spacing w:beforeLines="30" w:afterLines="30"/>
              <w:jc w:val="center"/>
              <w:rPr>
                <w:rFonts w:ascii="Times New Roman" w:hAnsi="Times New Roman"/>
                <w:sz w:val="18"/>
                <w:szCs w:val="18"/>
              </w:rPr>
            </w:pPr>
            <w:r>
              <w:rPr>
                <w:rFonts w:ascii="Times New Roman" w:hAnsi="Times New Roman"/>
                <w:sz w:val="18"/>
                <w:szCs w:val="18"/>
              </w:rPr>
              <w:t>机构</w:t>
            </w:r>
          </w:p>
        </w:tc>
        <w:tc>
          <w:tcPr>
            <w:tcW w:w="673" w:type="dxa"/>
            <w:tcBorders>
              <w:left w:val="single" w:color="auto" w:sz="4" w:space="0"/>
            </w:tcBorders>
            <w:vAlign w:val="center"/>
          </w:tcPr>
          <w:p>
            <w:pPr>
              <w:spacing w:beforeLines="30" w:afterLines="30"/>
              <w:jc w:val="center"/>
              <w:rPr>
                <w:rFonts w:ascii="Times New Roman" w:hAnsi="Times New Roman"/>
                <w:sz w:val="18"/>
                <w:szCs w:val="18"/>
              </w:rPr>
            </w:pPr>
            <w:r>
              <w:rPr>
                <w:rFonts w:ascii="Times New Roman" w:hAnsi="Times New Roman"/>
                <w:sz w:val="18"/>
                <w:szCs w:val="18"/>
              </w:rPr>
              <w:t>框架等级</w:t>
            </w:r>
          </w:p>
        </w:tc>
        <w:tc>
          <w:tcPr>
            <w:tcW w:w="791" w:type="dxa"/>
            <w:vAlign w:val="center"/>
          </w:tcPr>
          <w:p>
            <w:pPr>
              <w:spacing w:beforeLines="30" w:afterLines="30"/>
              <w:jc w:val="center"/>
              <w:rPr>
                <w:rFonts w:ascii="Times New Roman" w:hAnsi="Times New Roman"/>
                <w:sz w:val="18"/>
                <w:szCs w:val="18"/>
              </w:rPr>
            </w:pPr>
            <w:r>
              <w:rPr>
                <w:rFonts w:ascii="Times New Roman" w:hAnsi="Times New Roman"/>
                <w:sz w:val="18"/>
                <w:szCs w:val="18"/>
              </w:rPr>
              <w:t>专业</w:t>
            </w:r>
          </w:p>
          <w:p>
            <w:pPr>
              <w:spacing w:beforeLines="30" w:afterLines="30"/>
              <w:jc w:val="center"/>
              <w:rPr>
                <w:rFonts w:ascii="Times New Roman" w:hAnsi="Times New Roman"/>
                <w:sz w:val="18"/>
                <w:szCs w:val="18"/>
              </w:rPr>
            </w:pPr>
            <w:r>
              <w:rPr>
                <w:rFonts w:ascii="Times New Roman" w:hAnsi="Times New Roman"/>
                <w:sz w:val="18"/>
                <w:szCs w:val="18"/>
              </w:rPr>
              <w:t>名称</w:t>
            </w:r>
          </w:p>
        </w:tc>
        <w:tc>
          <w:tcPr>
            <w:tcW w:w="832" w:type="dxa"/>
            <w:vAlign w:val="center"/>
          </w:tcPr>
          <w:p>
            <w:pPr>
              <w:spacing w:beforeLines="30" w:afterLines="30"/>
              <w:jc w:val="center"/>
              <w:rPr>
                <w:rFonts w:ascii="Times New Roman" w:hAnsi="Times New Roman"/>
                <w:sz w:val="18"/>
                <w:szCs w:val="18"/>
              </w:rPr>
            </w:pPr>
            <w:r>
              <w:rPr>
                <w:rFonts w:ascii="Times New Roman" w:hAnsi="Times New Roman"/>
                <w:sz w:val="18"/>
                <w:szCs w:val="18"/>
              </w:rPr>
              <w:t>层次</w:t>
            </w:r>
          </w:p>
        </w:tc>
        <w:tc>
          <w:tcPr>
            <w:tcW w:w="859" w:type="dxa"/>
            <w:vAlign w:val="center"/>
          </w:tcPr>
          <w:p>
            <w:pPr>
              <w:spacing w:beforeLines="30" w:afterLines="30"/>
              <w:jc w:val="center"/>
              <w:rPr>
                <w:rFonts w:ascii="Times New Roman" w:hAnsi="Times New Roman"/>
                <w:sz w:val="18"/>
                <w:szCs w:val="18"/>
              </w:rPr>
            </w:pPr>
            <w:r>
              <w:rPr>
                <w:rFonts w:ascii="Times New Roman" w:hAnsi="Times New Roman"/>
                <w:sz w:val="18"/>
                <w:szCs w:val="18"/>
              </w:rPr>
              <w:t>颁证</w:t>
            </w:r>
          </w:p>
          <w:p>
            <w:pPr>
              <w:spacing w:beforeLines="30" w:afterLines="30"/>
              <w:jc w:val="center"/>
              <w:rPr>
                <w:rFonts w:ascii="Times New Roman" w:hAnsi="Times New Roman"/>
                <w:sz w:val="18"/>
                <w:szCs w:val="18"/>
              </w:rPr>
            </w:pPr>
            <w:r>
              <w:rPr>
                <w:rFonts w:ascii="Times New Roman" w:hAnsi="Times New Roman"/>
                <w:sz w:val="18"/>
                <w:szCs w:val="18"/>
              </w:rPr>
              <w:t>机构</w:t>
            </w:r>
          </w:p>
        </w:tc>
        <w:tc>
          <w:tcPr>
            <w:tcW w:w="1650" w:type="dxa"/>
            <w:vAlign w:val="center"/>
          </w:tcPr>
          <w:p>
            <w:pPr>
              <w:spacing w:beforeLines="30" w:afterLines="30"/>
              <w:jc w:val="center"/>
              <w:rPr>
                <w:rFonts w:ascii="Times New Roman" w:hAnsi="Times New Roman"/>
                <w:sz w:val="18"/>
                <w:szCs w:val="18"/>
              </w:rPr>
            </w:pPr>
            <w:r>
              <w:rPr>
                <w:rFonts w:ascii="Times New Roman" w:hAnsi="Times New Roman"/>
                <w:sz w:val="18"/>
                <w:szCs w:val="18"/>
              </w:rPr>
              <w:t>课程</w:t>
            </w:r>
          </w:p>
          <w:p>
            <w:pPr>
              <w:spacing w:beforeLines="30" w:afterLines="30"/>
              <w:jc w:val="center"/>
              <w:rPr>
                <w:rFonts w:ascii="Times New Roman" w:hAnsi="Times New Roman"/>
                <w:sz w:val="18"/>
                <w:szCs w:val="18"/>
              </w:rPr>
            </w:pPr>
            <w:r>
              <w:rPr>
                <w:rFonts w:ascii="Times New Roman" w:hAnsi="Times New Roman"/>
                <w:sz w:val="18"/>
                <w:szCs w:val="18"/>
              </w:rPr>
              <w:t>名称</w:t>
            </w:r>
          </w:p>
        </w:tc>
        <w:tc>
          <w:tcPr>
            <w:tcW w:w="827" w:type="dxa"/>
            <w:vAlign w:val="center"/>
          </w:tcPr>
          <w:p>
            <w:pPr>
              <w:spacing w:beforeLines="30" w:afterLines="30"/>
              <w:jc w:val="center"/>
              <w:rPr>
                <w:rFonts w:ascii="Times New Roman" w:hAnsi="Times New Roman"/>
                <w:sz w:val="18"/>
                <w:szCs w:val="18"/>
              </w:rPr>
            </w:pPr>
            <w:r>
              <w:rPr>
                <w:rFonts w:ascii="Times New Roman" w:hAnsi="Times New Roman"/>
                <w:sz w:val="18"/>
                <w:szCs w:val="18"/>
              </w:rPr>
              <w:t>课程</w:t>
            </w:r>
          </w:p>
          <w:p>
            <w:pPr>
              <w:spacing w:beforeLines="30" w:afterLines="30"/>
              <w:jc w:val="center"/>
              <w:rPr>
                <w:rFonts w:ascii="Times New Roman" w:hAnsi="Times New Roman"/>
                <w:sz w:val="18"/>
                <w:szCs w:val="18"/>
              </w:rPr>
            </w:pPr>
            <w:r>
              <w:rPr>
                <w:rFonts w:ascii="Times New Roman" w:hAnsi="Times New Roman"/>
                <w:sz w:val="18"/>
                <w:szCs w:val="18"/>
              </w:rPr>
              <w:t>学分</w:t>
            </w:r>
          </w:p>
        </w:tc>
        <w:tc>
          <w:tcPr>
            <w:tcW w:w="965" w:type="dxa"/>
            <w:vAlign w:val="center"/>
          </w:tcPr>
          <w:p>
            <w:pPr>
              <w:spacing w:beforeLines="30" w:afterLines="30"/>
              <w:jc w:val="center"/>
              <w:rPr>
                <w:rFonts w:ascii="Times New Roman" w:hAnsi="Times New Roman"/>
                <w:szCs w:val="21"/>
              </w:rPr>
            </w:pPr>
            <w:r>
              <w:rPr>
                <w:rFonts w:ascii="Times New Roman" w:hAnsi="Times New Roman"/>
                <w:szCs w:val="21"/>
              </w:rPr>
              <w:t>备注</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809" w:type="dxa"/>
            <w:vMerge w:val="restart"/>
            <w:vAlign w:val="center"/>
          </w:tcPr>
          <w:p>
            <w:pPr>
              <w:spacing w:beforeLines="30" w:afterLines="30"/>
              <w:jc w:val="center"/>
              <w:rPr>
                <w:rFonts w:ascii="Times New Roman" w:hAnsi="Times New Roman"/>
                <w:sz w:val="18"/>
                <w:szCs w:val="18"/>
              </w:rPr>
            </w:pPr>
            <w:r>
              <w:rPr>
                <w:rFonts w:ascii="Times New Roman" w:hAnsi="Times New Roman"/>
                <w:sz w:val="18"/>
                <w:szCs w:val="18"/>
              </w:rPr>
              <w:t>采煤工</w:t>
            </w:r>
          </w:p>
        </w:tc>
        <w:tc>
          <w:tcPr>
            <w:tcW w:w="810" w:type="dxa"/>
            <w:vMerge w:val="restart"/>
            <w:vAlign w:val="center"/>
          </w:tcPr>
          <w:p>
            <w:pPr>
              <w:spacing w:beforeLines="30" w:afterLines="30"/>
              <w:jc w:val="center"/>
              <w:rPr>
                <w:rFonts w:ascii="Times New Roman" w:hAnsi="Times New Roman"/>
                <w:sz w:val="18"/>
                <w:szCs w:val="18"/>
              </w:rPr>
            </w:pPr>
            <w:r>
              <w:rPr>
                <w:rFonts w:ascii="Times New Roman" w:hAnsi="Times New Roman"/>
                <w:sz w:val="18"/>
                <w:szCs w:val="18"/>
              </w:rPr>
              <w:t>高级</w:t>
            </w:r>
          </w:p>
        </w:tc>
        <w:tc>
          <w:tcPr>
            <w:tcW w:w="810" w:type="dxa"/>
            <w:vMerge w:val="restart"/>
            <w:tcBorders>
              <w:right w:val="single" w:color="auto" w:sz="4" w:space="0"/>
            </w:tcBorders>
            <w:vAlign w:val="center"/>
          </w:tcPr>
          <w:p>
            <w:pPr>
              <w:spacing w:beforeLines="30" w:afterLines="30"/>
              <w:jc w:val="center"/>
              <w:rPr>
                <w:rFonts w:ascii="Times New Roman" w:hAnsi="Times New Roman"/>
                <w:sz w:val="18"/>
                <w:szCs w:val="18"/>
              </w:rPr>
            </w:pPr>
            <w:r>
              <w:rPr>
                <w:rFonts w:ascii="Times New Roman" w:hAnsi="Times New Roman"/>
                <w:sz w:val="18"/>
                <w:szCs w:val="18"/>
              </w:rPr>
              <w:t>煤炭工业职业技能鉴定指导中心</w:t>
            </w:r>
          </w:p>
        </w:tc>
        <w:tc>
          <w:tcPr>
            <w:tcW w:w="673" w:type="dxa"/>
            <w:vMerge w:val="restart"/>
            <w:tcBorders>
              <w:left w:val="single" w:color="auto" w:sz="4" w:space="0"/>
            </w:tcBorders>
            <w:vAlign w:val="center"/>
          </w:tcPr>
          <w:p>
            <w:pPr>
              <w:spacing w:beforeLines="30" w:afterLines="30"/>
              <w:jc w:val="center"/>
              <w:rPr>
                <w:rFonts w:ascii="Times New Roman" w:hAnsi="Times New Roman"/>
                <w:sz w:val="18"/>
                <w:szCs w:val="18"/>
              </w:rPr>
            </w:pPr>
            <w:r>
              <w:rPr>
                <w:rFonts w:ascii="Times New Roman" w:hAnsi="Times New Roman"/>
                <w:sz w:val="18"/>
                <w:szCs w:val="18"/>
              </w:rPr>
              <w:t>5</w:t>
            </w:r>
          </w:p>
        </w:tc>
        <w:tc>
          <w:tcPr>
            <w:tcW w:w="791" w:type="dxa"/>
            <w:vMerge w:val="restart"/>
            <w:vAlign w:val="center"/>
          </w:tcPr>
          <w:p>
            <w:pPr>
              <w:spacing w:beforeLines="30" w:afterLines="30"/>
              <w:jc w:val="center"/>
              <w:rPr>
                <w:rFonts w:ascii="Times New Roman" w:hAnsi="Times New Roman"/>
                <w:sz w:val="18"/>
                <w:szCs w:val="18"/>
              </w:rPr>
            </w:pPr>
            <w:r>
              <w:rPr>
                <w:rFonts w:ascii="Times New Roman" w:hAnsi="Times New Roman"/>
                <w:sz w:val="18"/>
                <w:szCs w:val="18"/>
              </w:rPr>
              <w:t>煤矿开采技术</w:t>
            </w:r>
          </w:p>
        </w:tc>
        <w:tc>
          <w:tcPr>
            <w:tcW w:w="832" w:type="dxa"/>
            <w:vMerge w:val="restart"/>
            <w:vAlign w:val="center"/>
          </w:tcPr>
          <w:p>
            <w:pPr>
              <w:spacing w:beforeLines="30" w:afterLines="30"/>
              <w:jc w:val="center"/>
              <w:rPr>
                <w:rFonts w:ascii="Times New Roman" w:hAnsi="Times New Roman"/>
                <w:sz w:val="18"/>
                <w:szCs w:val="18"/>
              </w:rPr>
            </w:pPr>
            <w:r>
              <w:rPr>
                <w:rFonts w:ascii="Times New Roman" w:hAnsi="Times New Roman"/>
                <w:sz w:val="18"/>
                <w:szCs w:val="18"/>
              </w:rPr>
              <w:t>专科</w:t>
            </w:r>
          </w:p>
        </w:tc>
        <w:tc>
          <w:tcPr>
            <w:tcW w:w="859" w:type="dxa"/>
            <w:vMerge w:val="restart"/>
            <w:vAlign w:val="center"/>
          </w:tcPr>
          <w:p>
            <w:pPr>
              <w:spacing w:beforeLines="30" w:afterLines="30"/>
              <w:jc w:val="center"/>
              <w:rPr>
                <w:rFonts w:ascii="Times New Roman" w:hAnsi="Times New Roman"/>
                <w:sz w:val="18"/>
                <w:szCs w:val="18"/>
              </w:rPr>
            </w:pPr>
            <w:r>
              <w:rPr>
                <w:rFonts w:ascii="Times New Roman" w:hAnsi="Times New Roman"/>
                <w:sz w:val="18"/>
                <w:szCs w:val="18"/>
              </w:rPr>
              <w:t>国家开放大学</w:t>
            </w:r>
          </w:p>
        </w:tc>
        <w:tc>
          <w:tcPr>
            <w:tcW w:w="1650" w:type="dxa"/>
            <w:vAlign w:val="center"/>
          </w:tcPr>
          <w:p>
            <w:pPr>
              <w:spacing w:beforeLines="30" w:afterLines="30"/>
              <w:jc w:val="center"/>
              <w:rPr>
                <w:rFonts w:ascii="Times New Roman" w:hAnsi="Times New Roman"/>
                <w:sz w:val="18"/>
                <w:szCs w:val="18"/>
              </w:rPr>
            </w:pPr>
            <w:r>
              <w:rPr>
                <w:rFonts w:ascii="Times New Roman" w:hAnsi="Times New Roman"/>
                <w:sz w:val="18"/>
                <w:szCs w:val="18"/>
              </w:rPr>
              <w:t>煤矿开采（专）</w:t>
            </w:r>
          </w:p>
        </w:tc>
        <w:tc>
          <w:tcPr>
            <w:tcW w:w="827" w:type="dxa"/>
            <w:vAlign w:val="center"/>
          </w:tcPr>
          <w:p>
            <w:pPr>
              <w:spacing w:beforeLines="30" w:afterLines="30"/>
              <w:jc w:val="center"/>
              <w:rPr>
                <w:rFonts w:ascii="Times New Roman" w:hAnsi="Times New Roman"/>
                <w:sz w:val="18"/>
                <w:szCs w:val="18"/>
              </w:rPr>
            </w:pPr>
            <w:r>
              <w:rPr>
                <w:rFonts w:hint="eastAsia" w:ascii="Times New Roman" w:hAnsi="Times New Roman"/>
                <w:sz w:val="18"/>
                <w:szCs w:val="18"/>
              </w:rPr>
              <w:t>5</w:t>
            </w:r>
          </w:p>
        </w:tc>
        <w:tc>
          <w:tcPr>
            <w:tcW w:w="965" w:type="dxa"/>
            <w:vMerge w:val="restart"/>
            <w:vAlign w:val="center"/>
          </w:tcPr>
          <w:p>
            <w:pPr>
              <w:spacing w:beforeLines="30" w:afterLines="3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809" w:type="dxa"/>
            <w:vMerge w:val="continue"/>
            <w:vAlign w:val="center"/>
          </w:tcPr>
          <w:p>
            <w:pPr>
              <w:spacing w:beforeLines="30" w:afterLines="30"/>
              <w:jc w:val="center"/>
              <w:rPr>
                <w:rFonts w:ascii="Times New Roman" w:hAnsi="Times New Roman"/>
                <w:sz w:val="18"/>
                <w:szCs w:val="18"/>
              </w:rPr>
            </w:pPr>
          </w:p>
        </w:tc>
        <w:tc>
          <w:tcPr>
            <w:tcW w:w="810" w:type="dxa"/>
            <w:vMerge w:val="continue"/>
            <w:vAlign w:val="center"/>
          </w:tcPr>
          <w:p>
            <w:pPr>
              <w:spacing w:beforeLines="30" w:afterLines="30"/>
              <w:jc w:val="center"/>
              <w:rPr>
                <w:rFonts w:ascii="Times New Roman" w:hAnsi="Times New Roman"/>
                <w:sz w:val="18"/>
                <w:szCs w:val="18"/>
              </w:rPr>
            </w:pPr>
          </w:p>
        </w:tc>
        <w:tc>
          <w:tcPr>
            <w:tcW w:w="810" w:type="dxa"/>
            <w:vMerge w:val="continue"/>
            <w:tcBorders>
              <w:right w:val="single" w:color="auto" w:sz="4" w:space="0"/>
            </w:tcBorders>
            <w:vAlign w:val="center"/>
          </w:tcPr>
          <w:p>
            <w:pPr>
              <w:spacing w:beforeLines="30" w:afterLines="30"/>
              <w:jc w:val="center"/>
              <w:rPr>
                <w:rFonts w:ascii="Times New Roman" w:hAnsi="Times New Roman"/>
                <w:sz w:val="18"/>
                <w:szCs w:val="18"/>
              </w:rPr>
            </w:pPr>
          </w:p>
        </w:tc>
        <w:tc>
          <w:tcPr>
            <w:tcW w:w="673" w:type="dxa"/>
            <w:vMerge w:val="continue"/>
            <w:tcBorders>
              <w:left w:val="single" w:color="auto" w:sz="4" w:space="0"/>
            </w:tcBorders>
            <w:vAlign w:val="center"/>
          </w:tcPr>
          <w:p>
            <w:pPr>
              <w:spacing w:beforeLines="30" w:afterLines="30"/>
              <w:jc w:val="center"/>
              <w:rPr>
                <w:rFonts w:ascii="Times New Roman" w:hAnsi="Times New Roman"/>
                <w:sz w:val="18"/>
                <w:szCs w:val="18"/>
              </w:rPr>
            </w:pPr>
          </w:p>
        </w:tc>
        <w:tc>
          <w:tcPr>
            <w:tcW w:w="791" w:type="dxa"/>
            <w:vMerge w:val="continue"/>
            <w:vAlign w:val="center"/>
          </w:tcPr>
          <w:p>
            <w:pPr>
              <w:spacing w:beforeLines="30" w:afterLines="30"/>
              <w:jc w:val="center"/>
              <w:rPr>
                <w:rFonts w:ascii="Times New Roman" w:hAnsi="Times New Roman"/>
                <w:sz w:val="18"/>
                <w:szCs w:val="18"/>
              </w:rPr>
            </w:pPr>
          </w:p>
        </w:tc>
        <w:tc>
          <w:tcPr>
            <w:tcW w:w="832" w:type="dxa"/>
            <w:vMerge w:val="continue"/>
            <w:vAlign w:val="center"/>
          </w:tcPr>
          <w:p>
            <w:pPr>
              <w:spacing w:beforeLines="30" w:afterLines="30"/>
              <w:jc w:val="center"/>
              <w:rPr>
                <w:rFonts w:ascii="Times New Roman" w:hAnsi="Times New Roman"/>
                <w:sz w:val="18"/>
                <w:szCs w:val="18"/>
              </w:rPr>
            </w:pPr>
          </w:p>
        </w:tc>
        <w:tc>
          <w:tcPr>
            <w:tcW w:w="859" w:type="dxa"/>
            <w:vMerge w:val="continue"/>
            <w:vAlign w:val="center"/>
          </w:tcPr>
          <w:p>
            <w:pPr>
              <w:spacing w:beforeLines="30" w:afterLines="30"/>
              <w:jc w:val="center"/>
              <w:rPr>
                <w:rFonts w:ascii="Times New Roman" w:hAnsi="Times New Roman"/>
                <w:sz w:val="18"/>
                <w:szCs w:val="18"/>
              </w:rPr>
            </w:pPr>
          </w:p>
        </w:tc>
        <w:tc>
          <w:tcPr>
            <w:tcW w:w="1650" w:type="dxa"/>
            <w:vAlign w:val="center"/>
          </w:tcPr>
          <w:p>
            <w:pPr>
              <w:spacing w:beforeLines="30" w:afterLines="30"/>
              <w:jc w:val="center"/>
              <w:rPr>
                <w:rFonts w:ascii="Times New Roman" w:hAnsi="Times New Roman"/>
                <w:sz w:val="18"/>
                <w:szCs w:val="18"/>
              </w:rPr>
            </w:pPr>
            <w:r>
              <w:rPr>
                <w:rFonts w:ascii="Times New Roman" w:hAnsi="Times New Roman"/>
                <w:sz w:val="18"/>
                <w:szCs w:val="18"/>
              </w:rPr>
              <w:t>井巷工程（专）</w:t>
            </w:r>
          </w:p>
        </w:tc>
        <w:tc>
          <w:tcPr>
            <w:tcW w:w="827" w:type="dxa"/>
            <w:vAlign w:val="center"/>
          </w:tcPr>
          <w:p>
            <w:pPr>
              <w:spacing w:beforeLines="30" w:afterLines="30"/>
              <w:jc w:val="center"/>
              <w:rPr>
                <w:rFonts w:ascii="Times New Roman" w:hAnsi="Times New Roman"/>
                <w:sz w:val="18"/>
                <w:szCs w:val="18"/>
              </w:rPr>
            </w:pPr>
            <w:r>
              <w:rPr>
                <w:rFonts w:ascii="Times New Roman" w:hAnsi="Times New Roman"/>
                <w:sz w:val="18"/>
                <w:szCs w:val="18"/>
              </w:rPr>
              <w:t>3</w:t>
            </w:r>
          </w:p>
        </w:tc>
        <w:tc>
          <w:tcPr>
            <w:tcW w:w="965" w:type="dxa"/>
            <w:vMerge w:val="continue"/>
            <w:vAlign w:val="center"/>
          </w:tcPr>
          <w:p>
            <w:pPr>
              <w:spacing w:beforeLines="30" w:afterLines="3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jc w:val="center"/>
        </w:trPr>
        <w:tc>
          <w:tcPr>
            <w:tcW w:w="809" w:type="dxa"/>
            <w:vMerge w:val="continue"/>
            <w:vAlign w:val="center"/>
          </w:tcPr>
          <w:p>
            <w:pPr>
              <w:spacing w:beforeLines="30" w:afterLines="30"/>
              <w:jc w:val="center"/>
              <w:rPr>
                <w:rFonts w:ascii="Times New Roman" w:hAnsi="Times New Roman"/>
                <w:sz w:val="18"/>
                <w:szCs w:val="18"/>
              </w:rPr>
            </w:pPr>
          </w:p>
        </w:tc>
        <w:tc>
          <w:tcPr>
            <w:tcW w:w="810" w:type="dxa"/>
            <w:vMerge w:val="continue"/>
            <w:vAlign w:val="center"/>
          </w:tcPr>
          <w:p>
            <w:pPr>
              <w:spacing w:beforeLines="30" w:afterLines="30"/>
              <w:jc w:val="center"/>
              <w:rPr>
                <w:rFonts w:ascii="Times New Roman" w:hAnsi="Times New Roman"/>
                <w:sz w:val="18"/>
                <w:szCs w:val="18"/>
              </w:rPr>
            </w:pPr>
          </w:p>
        </w:tc>
        <w:tc>
          <w:tcPr>
            <w:tcW w:w="810" w:type="dxa"/>
            <w:vMerge w:val="continue"/>
            <w:tcBorders>
              <w:right w:val="single" w:color="auto" w:sz="4" w:space="0"/>
            </w:tcBorders>
            <w:vAlign w:val="center"/>
          </w:tcPr>
          <w:p>
            <w:pPr>
              <w:spacing w:beforeLines="30" w:afterLines="30"/>
              <w:jc w:val="center"/>
              <w:rPr>
                <w:rFonts w:ascii="Times New Roman" w:hAnsi="Times New Roman"/>
                <w:sz w:val="18"/>
                <w:szCs w:val="18"/>
              </w:rPr>
            </w:pPr>
          </w:p>
        </w:tc>
        <w:tc>
          <w:tcPr>
            <w:tcW w:w="673" w:type="dxa"/>
            <w:vMerge w:val="continue"/>
            <w:tcBorders>
              <w:left w:val="single" w:color="auto" w:sz="4" w:space="0"/>
            </w:tcBorders>
            <w:vAlign w:val="center"/>
          </w:tcPr>
          <w:p>
            <w:pPr>
              <w:spacing w:beforeLines="30" w:afterLines="30"/>
              <w:jc w:val="center"/>
              <w:rPr>
                <w:rFonts w:ascii="Times New Roman" w:hAnsi="Times New Roman"/>
                <w:sz w:val="18"/>
                <w:szCs w:val="18"/>
              </w:rPr>
            </w:pPr>
          </w:p>
        </w:tc>
        <w:tc>
          <w:tcPr>
            <w:tcW w:w="791" w:type="dxa"/>
            <w:vMerge w:val="continue"/>
            <w:vAlign w:val="center"/>
          </w:tcPr>
          <w:p>
            <w:pPr>
              <w:spacing w:beforeLines="30" w:afterLines="30"/>
              <w:jc w:val="center"/>
              <w:rPr>
                <w:rFonts w:ascii="Times New Roman" w:hAnsi="Times New Roman"/>
                <w:sz w:val="18"/>
                <w:szCs w:val="18"/>
              </w:rPr>
            </w:pPr>
          </w:p>
        </w:tc>
        <w:tc>
          <w:tcPr>
            <w:tcW w:w="832" w:type="dxa"/>
            <w:vMerge w:val="continue"/>
            <w:vAlign w:val="center"/>
          </w:tcPr>
          <w:p>
            <w:pPr>
              <w:spacing w:beforeLines="30" w:afterLines="30"/>
              <w:jc w:val="center"/>
              <w:rPr>
                <w:rFonts w:ascii="Times New Roman" w:hAnsi="Times New Roman"/>
                <w:sz w:val="18"/>
                <w:szCs w:val="18"/>
              </w:rPr>
            </w:pPr>
          </w:p>
        </w:tc>
        <w:tc>
          <w:tcPr>
            <w:tcW w:w="859" w:type="dxa"/>
            <w:vMerge w:val="continue"/>
            <w:vAlign w:val="center"/>
          </w:tcPr>
          <w:p>
            <w:pPr>
              <w:spacing w:beforeLines="30" w:afterLines="30"/>
              <w:jc w:val="center"/>
              <w:rPr>
                <w:rFonts w:ascii="Times New Roman" w:hAnsi="Times New Roman"/>
                <w:sz w:val="18"/>
                <w:szCs w:val="18"/>
              </w:rPr>
            </w:pPr>
          </w:p>
        </w:tc>
        <w:tc>
          <w:tcPr>
            <w:tcW w:w="1650" w:type="dxa"/>
            <w:vAlign w:val="center"/>
          </w:tcPr>
          <w:p>
            <w:pPr>
              <w:spacing w:beforeLines="30" w:afterLines="30"/>
              <w:jc w:val="center"/>
              <w:rPr>
                <w:rFonts w:ascii="Times New Roman" w:hAnsi="Times New Roman"/>
                <w:sz w:val="18"/>
                <w:szCs w:val="18"/>
              </w:rPr>
            </w:pPr>
            <w:r>
              <w:rPr>
                <w:rFonts w:ascii="Times New Roman" w:hAnsi="Times New Roman"/>
                <w:sz w:val="18"/>
                <w:szCs w:val="18"/>
              </w:rPr>
              <w:t>矿山压力及岩层控制（专）</w:t>
            </w:r>
          </w:p>
        </w:tc>
        <w:tc>
          <w:tcPr>
            <w:tcW w:w="827" w:type="dxa"/>
            <w:vAlign w:val="center"/>
          </w:tcPr>
          <w:p>
            <w:pPr>
              <w:spacing w:beforeLines="30" w:afterLines="30"/>
              <w:jc w:val="center"/>
              <w:rPr>
                <w:rFonts w:ascii="Times New Roman" w:hAnsi="Times New Roman"/>
                <w:sz w:val="18"/>
                <w:szCs w:val="18"/>
              </w:rPr>
            </w:pPr>
            <w:r>
              <w:rPr>
                <w:rFonts w:ascii="Times New Roman" w:hAnsi="Times New Roman"/>
                <w:sz w:val="18"/>
                <w:szCs w:val="18"/>
              </w:rPr>
              <w:t>3</w:t>
            </w:r>
          </w:p>
        </w:tc>
        <w:tc>
          <w:tcPr>
            <w:tcW w:w="965" w:type="dxa"/>
            <w:vMerge w:val="continue"/>
            <w:vAlign w:val="center"/>
          </w:tcPr>
          <w:p>
            <w:pPr>
              <w:spacing w:beforeLines="30" w:afterLines="3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839" w:hRule="atLeast"/>
          <w:jc w:val="center"/>
        </w:trPr>
        <w:tc>
          <w:tcPr>
            <w:tcW w:w="809" w:type="dxa"/>
            <w:vMerge w:val="continue"/>
            <w:vAlign w:val="center"/>
          </w:tcPr>
          <w:p>
            <w:pPr>
              <w:spacing w:beforeLines="30" w:afterLines="30"/>
              <w:jc w:val="center"/>
              <w:rPr>
                <w:rFonts w:ascii="Times New Roman" w:hAnsi="Times New Roman"/>
                <w:sz w:val="18"/>
                <w:szCs w:val="18"/>
              </w:rPr>
            </w:pPr>
          </w:p>
        </w:tc>
        <w:tc>
          <w:tcPr>
            <w:tcW w:w="810" w:type="dxa"/>
            <w:vMerge w:val="continue"/>
            <w:vAlign w:val="center"/>
          </w:tcPr>
          <w:p>
            <w:pPr>
              <w:spacing w:beforeLines="30" w:afterLines="30"/>
              <w:jc w:val="center"/>
              <w:rPr>
                <w:rFonts w:ascii="Times New Roman" w:hAnsi="Times New Roman"/>
                <w:sz w:val="18"/>
                <w:szCs w:val="18"/>
              </w:rPr>
            </w:pPr>
          </w:p>
        </w:tc>
        <w:tc>
          <w:tcPr>
            <w:tcW w:w="810" w:type="dxa"/>
            <w:vMerge w:val="continue"/>
            <w:tcBorders>
              <w:right w:val="single" w:color="auto" w:sz="4" w:space="0"/>
            </w:tcBorders>
            <w:vAlign w:val="center"/>
          </w:tcPr>
          <w:p>
            <w:pPr>
              <w:spacing w:beforeLines="30" w:afterLines="30"/>
              <w:jc w:val="center"/>
              <w:rPr>
                <w:rFonts w:ascii="Times New Roman" w:hAnsi="Times New Roman"/>
                <w:sz w:val="18"/>
                <w:szCs w:val="18"/>
              </w:rPr>
            </w:pPr>
          </w:p>
        </w:tc>
        <w:tc>
          <w:tcPr>
            <w:tcW w:w="673" w:type="dxa"/>
            <w:vMerge w:val="continue"/>
            <w:tcBorders>
              <w:left w:val="single" w:color="auto" w:sz="4" w:space="0"/>
            </w:tcBorders>
            <w:vAlign w:val="center"/>
          </w:tcPr>
          <w:p>
            <w:pPr>
              <w:spacing w:beforeLines="30" w:afterLines="30"/>
              <w:jc w:val="center"/>
              <w:rPr>
                <w:rFonts w:ascii="Times New Roman" w:hAnsi="Times New Roman"/>
                <w:sz w:val="18"/>
                <w:szCs w:val="18"/>
              </w:rPr>
            </w:pPr>
          </w:p>
        </w:tc>
        <w:tc>
          <w:tcPr>
            <w:tcW w:w="791" w:type="dxa"/>
            <w:vMerge w:val="continue"/>
            <w:vAlign w:val="center"/>
          </w:tcPr>
          <w:p>
            <w:pPr>
              <w:spacing w:beforeLines="30" w:afterLines="30"/>
              <w:jc w:val="center"/>
              <w:rPr>
                <w:rFonts w:ascii="Times New Roman" w:hAnsi="Times New Roman"/>
                <w:sz w:val="18"/>
                <w:szCs w:val="18"/>
              </w:rPr>
            </w:pPr>
          </w:p>
        </w:tc>
        <w:tc>
          <w:tcPr>
            <w:tcW w:w="832" w:type="dxa"/>
            <w:vMerge w:val="continue"/>
            <w:vAlign w:val="center"/>
          </w:tcPr>
          <w:p>
            <w:pPr>
              <w:spacing w:beforeLines="30" w:afterLines="30"/>
              <w:jc w:val="center"/>
              <w:rPr>
                <w:rFonts w:ascii="Times New Roman" w:hAnsi="Times New Roman"/>
                <w:sz w:val="18"/>
                <w:szCs w:val="18"/>
              </w:rPr>
            </w:pPr>
          </w:p>
        </w:tc>
        <w:tc>
          <w:tcPr>
            <w:tcW w:w="859" w:type="dxa"/>
            <w:vMerge w:val="continue"/>
            <w:vAlign w:val="center"/>
          </w:tcPr>
          <w:p>
            <w:pPr>
              <w:spacing w:beforeLines="30" w:afterLines="30"/>
              <w:jc w:val="center"/>
              <w:rPr>
                <w:rFonts w:ascii="Times New Roman" w:hAnsi="Times New Roman"/>
                <w:sz w:val="18"/>
                <w:szCs w:val="18"/>
              </w:rPr>
            </w:pPr>
          </w:p>
        </w:tc>
        <w:tc>
          <w:tcPr>
            <w:tcW w:w="1650" w:type="dxa"/>
            <w:vAlign w:val="center"/>
          </w:tcPr>
          <w:p>
            <w:pPr>
              <w:spacing w:beforeLines="30" w:afterLines="30"/>
              <w:jc w:val="center"/>
              <w:rPr>
                <w:rFonts w:ascii="Times New Roman" w:hAnsi="Times New Roman"/>
                <w:sz w:val="18"/>
                <w:szCs w:val="18"/>
              </w:rPr>
            </w:pPr>
            <w:r>
              <w:rPr>
                <w:rFonts w:ascii="Times New Roman" w:hAnsi="Times New Roman"/>
                <w:sz w:val="18"/>
                <w:szCs w:val="18"/>
              </w:rPr>
              <w:t>矿图实训（专）</w:t>
            </w:r>
          </w:p>
        </w:tc>
        <w:tc>
          <w:tcPr>
            <w:tcW w:w="827" w:type="dxa"/>
            <w:vAlign w:val="center"/>
          </w:tcPr>
          <w:p>
            <w:pPr>
              <w:spacing w:beforeLines="30" w:afterLines="30"/>
              <w:jc w:val="center"/>
              <w:rPr>
                <w:rFonts w:ascii="Times New Roman" w:hAnsi="Times New Roman"/>
                <w:sz w:val="18"/>
                <w:szCs w:val="18"/>
              </w:rPr>
            </w:pPr>
            <w:r>
              <w:rPr>
                <w:rFonts w:ascii="Times New Roman" w:hAnsi="Times New Roman"/>
                <w:sz w:val="18"/>
                <w:szCs w:val="18"/>
              </w:rPr>
              <w:t>1</w:t>
            </w:r>
          </w:p>
        </w:tc>
        <w:tc>
          <w:tcPr>
            <w:tcW w:w="965" w:type="dxa"/>
            <w:vMerge w:val="continue"/>
            <w:vAlign w:val="center"/>
          </w:tcPr>
          <w:p>
            <w:pPr>
              <w:spacing w:beforeLines="30" w:afterLines="30"/>
              <w:jc w:val="center"/>
              <w:rPr>
                <w:rFonts w:ascii="Times New Roman" w:hAnsi="Times New Roman"/>
                <w:szCs w:val="21"/>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809" w:type="dxa"/>
            <w:vMerge w:val="continue"/>
            <w:vAlign w:val="center"/>
          </w:tcPr>
          <w:p>
            <w:pPr>
              <w:spacing w:beforeLines="30" w:afterLines="30"/>
              <w:jc w:val="center"/>
              <w:rPr>
                <w:rFonts w:ascii="Times New Roman" w:hAnsi="Times New Roman"/>
                <w:sz w:val="18"/>
                <w:szCs w:val="18"/>
              </w:rPr>
            </w:pPr>
          </w:p>
        </w:tc>
        <w:tc>
          <w:tcPr>
            <w:tcW w:w="810" w:type="dxa"/>
            <w:vMerge w:val="continue"/>
            <w:vAlign w:val="center"/>
          </w:tcPr>
          <w:p>
            <w:pPr>
              <w:spacing w:beforeLines="30" w:afterLines="30"/>
              <w:jc w:val="center"/>
              <w:rPr>
                <w:rFonts w:ascii="Times New Roman" w:hAnsi="Times New Roman"/>
                <w:sz w:val="18"/>
                <w:szCs w:val="18"/>
              </w:rPr>
            </w:pPr>
          </w:p>
        </w:tc>
        <w:tc>
          <w:tcPr>
            <w:tcW w:w="810" w:type="dxa"/>
            <w:vMerge w:val="continue"/>
            <w:tcBorders>
              <w:right w:val="single" w:color="auto" w:sz="4" w:space="0"/>
            </w:tcBorders>
            <w:vAlign w:val="center"/>
          </w:tcPr>
          <w:p>
            <w:pPr>
              <w:spacing w:beforeLines="30" w:afterLines="30"/>
              <w:jc w:val="center"/>
              <w:rPr>
                <w:rFonts w:ascii="Times New Roman" w:hAnsi="Times New Roman"/>
                <w:sz w:val="18"/>
                <w:szCs w:val="18"/>
              </w:rPr>
            </w:pPr>
          </w:p>
        </w:tc>
        <w:tc>
          <w:tcPr>
            <w:tcW w:w="673" w:type="dxa"/>
            <w:vMerge w:val="continue"/>
            <w:tcBorders>
              <w:left w:val="single" w:color="auto" w:sz="4" w:space="0"/>
            </w:tcBorders>
            <w:vAlign w:val="center"/>
          </w:tcPr>
          <w:p>
            <w:pPr>
              <w:spacing w:beforeLines="30" w:afterLines="30"/>
              <w:jc w:val="center"/>
              <w:rPr>
                <w:rFonts w:ascii="Times New Roman" w:hAnsi="Times New Roman"/>
                <w:sz w:val="18"/>
                <w:szCs w:val="18"/>
              </w:rPr>
            </w:pPr>
          </w:p>
        </w:tc>
        <w:tc>
          <w:tcPr>
            <w:tcW w:w="791" w:type="dxa"/>
            <w:vMerge w:val="continue"/>
            <w:vAlign w:val="center"/>
          </w:tcPr>
          <w:p>
            <w:pPr>
              <w:spacing w:beforeLines="30" w:afterLines="30"/>
              <w:jc w:val="center"/>
              <w:rPr>
                <w:rFonts w:ascii="Times New Roman" w:hAnsi="Times New Roman"/>
                <w:sz w:val="18"/>
                <w:szCs w:val="18"/>
              </w:rPr>
            </w:pPr>
          </w:p>
        </w:tc>
        <w:tc>
          <w:tcPr>
            <w:tcW w:w="832" w:type="dxa"/>
            <w:vMerge w:val="continue"/>
            <w:vAlign w:val="center"/>
          </w:tcPr>
          <w:p>
            <w:pPr>
              <w:spacing w:beforeLines="30" w:afterLines="30"/>
              <w:jc w:val="center"/>
              <w:rPr>
                <w:rFonts w:ascii="Times New Roman" w:hAnsi="Times New Roman"/>
                <w:sz w:val="18"/>
                <w:szCs w:val="18"/>
              </w:rPr>
            </w:pPr>
          </w:p>
        </w:tc>
        <w:tc>
          <w:tcPr>
            <w:tcW w:w="859" w:type="dxa"/>
            <w:vMerge w:val="continue"/>
            <w:vAlign w:val="center"/>
          </w:tcPr>
          <w:p>
            <w:pPr>
              <w:spacing w:beforeLines="30" w:afterLines="30"/>
              <w:jc w:val="center"/>
              <w:rPr>
                <w:rFonts w:ascii="Times New Roman" w:hAnsi="Times New Roman"/>
                <w:sz w:val="18"/>
                <w:szCs w:val="18"/>
              </w:rPr>
            </w:pPr>
          </w:p>
        </w:tc>
        <w:tc>
          <w:tcPr>
            <w:tcW w:w="1650" w:type="dxa"/>
            <w:vAlign w:val="center"/>
          </w:tcPr>
          <w:p>
            <w:pPr>
              <w:spacing w:beforeLines="30" w:afterLines="30"/>
              <w:jc w:val="center"/>
              <w:rPr>
                <w:rFonts w:ascii="Times New Roman" w:hAnsi="Times New Roman"/>
                <w:sz w:val="18"/>
                <w:szCs w:val="18"/>
              </w:rPr>
            </w:pPr>
            <w:r>
              <w:rPr>
                <w:rFonts w:ascii="Times New Roman" w:hAnsi="Times New Roman"/>
                <w:sz w:val="18"/>
                <w:szCs w:val="18"/>
              </w:rPr>
              <w:t>地质实习（专）</w:t>
            </w:r>
          </w:p>
        </w:tc>
        <w:tc>
          <w:tcPr>
            <w:tcW w:w="827" w:type="dxa"/>
            <w:vAlign w:val="center"/>
          </w:tcPr>
          <w:p>
            <w:pPr>
              <w:spacing w:beforeLines="30" w:afterLines="30"/>
              <w:jc w:val="center"/>
              <w:rPr>
                <w:rFonts w:ascii="Times New Roman" w:hAnsi="Times New Roman"/>
                <w:sz w:val="18"/>
                <w:szCs w:val="18"/>
              </w:rPr>
            </w:pPr>
            <w:r>
              <w:rPr>
                <w:rFonts w:ascii="Times New Roman" w:hAnsi="Times New Roman"/>
                <w:sz w:val="18"/>
                <w:szCs w:val="18"/>
              </w:rPr>
              <w:t>1</w:t>
            </w:r>
          </w:p>
        </w:tc>
        <w:tc>
          <w:tcPr>
            <w:tcW w:w="965" w:type="dxa"/>
            <w:vMerge w:val="continue"/>
            <w:vAlign w:val="center"/>
          </w:tcPr>
          <w:p>
            <w:pPr>
              <w:spacing w:beforeLines="30" w:afterLines="30"/>
              <w:jc w:val="center"/>
              <w:rPr>
                <w:rFonts w:ascii="Times New Roman" w:hAnsi="Times New Roman"/>
                <w:szCs w:val="21"/>
              </w:rPr>
            </w:pPr>
          </w:p>
        </w:tc>
      </w:tr>
      <w:bookmarkEnd w:id="57"/>
      <w:bookmarkEnd w:id="58"/>
    </w:tbl>
    <w:p>
      <w:pPr>
        <w:widowControl/>
        <w:shd w:val="clear" w:color="auto" w:fill="FFFFFF"/>
        <w:spacing w:line="360" w:lineRule="auto"/>
        <w:jc w:val="left"/>
        <w:textAlignment w:val="center"/>
        <w:rPr>
          <w:rFonts w:ascii="Times New Roman" w:hAnsi="Times New Roman"/>
          <w:kern w:val="0"/>
          <w:szCs w:val="21"/>
        </w:rPr>
      </w:pPr>
      <w:r>
        <w:rPr>
          <w:rFonts w:ascii="Times New Roman" w:hAnsi="Times New Roman"/>
          <w:kern w:val="0"/>
          <w:szCs w:val="21"/>
        </w:rPr>
        <w:t>注：课程对应认证单元情况见附件</w:t>
      </w:r>
      <w:r>
        <w:rPr>
          <w:rFonts w:ascii="Times New Roman" w:hAnsi="Times New Roman"/>
          <w:kern w:val="0"/>
        </w:rPr>
        <w:t>5</w:t>
      </w:r>
      <w:r>
        <w:rPr>
          <w:rFonts w:ascii="Times New Roman" w:hAnsi="Times New Roman"/>
          <w:kern w:val="0"/>
          <w:szCs w:val="21"/>
        </w:rPr>
        <w:t>。</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3．申报条件</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通过国家开放大学组织的双证融通课程的考核，具备如下条件者，可获得相应资格证书。</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取得煤矿开采技术专业专科毕业证或通过《煤矿开采》（专）、《井巷工程》（专）、《矿山压力及岩层控制》（专）、《矿图实训》（专）、《地质实习》（专）5门课程考核，考核成绩达70分（含）以上者，并从事本职工作满2年，即可取得“采煤工（高级）”资格证书。</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 xml:space="preserve">4．证书申请及发放程序 </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1）申请时间及申请材料</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国家开放大学及其煤炭学院负责组织学生申报，并于每年5月15日前、11月15日前分别将申请职业资格证书的学生数据报送煤炭学院。</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学生信息包括：</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（1）基本信息：姓名、性别、出生年月日、身份证号码、文化程度、联系方式、双证融通课程的单科结业成绩；</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（2）身份证复印件一份；</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（3）每申请一个证书需交正面免冠同底的两寸照片2张。</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 xml:space="preserve">2）国家开放大学及其煤炭学院将成绩单和申报材料提交证书管理部门。 </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3）证书管理部门进行资格审核，并在15个工作日后颁发相应的证书。</w:t>
      </w:r>
    </w:p>
    <w:p>
      <w:pPr>
        <w:widowControl/>
        <w:shd w:val="clear" w:color="auto" w:fill="FFFFFF"/>
        <w:ind w:firstLine="420"/>
        <w:jc w:val="left"/>
        <w:textAlignment w:val="center"/>
        <w:rPr>
          <w:rFonts w:ascii="仿宋_GB2312" w:hAnsi="Times New Roman" w:eastAsia="仿宋_GB2312"/>
          <w:kern w:val="0"/>
          <w:sz w:val="30"/>
          <w:szCs w:val="30"/>
        </w:rPr>
      </w:pPr>
      <w:r>
        <w:rPr>
          <w:rFonts w:hint="eastAsia" w:ascii="仿宋_GB2312" w:hAnsi="Times New Roman" w:eastAsia="仿宋_GB2312"/>
          <w:kern w:val="0"/>
          <w:sz w:val="30"/>
          <w:szCs w:val="30"/>
        </w:rPr>
        <w:t>4）国家开放大学及其煤炭学院统一组织发放职业资格证书或岗位技能培训证书。</w:t>
      </w:r>
    </w:p>
    <w:p>
      <w:pPr>
        <w:ind w:firstLine="600" w:firstLineChars="200"/>
        <w:outlineLvl w:val="1"/>
        <w:rPr>
          <w:rFonts w:ascii="仿宋_GB2312" w:hAnsi="Times New Roman" w:eastAsia="仿宋_GB2312"/>
          <w:sz w:val="30"/>
          <w:szCs w:val="30"/>
        </w:rPr>
      </w:pPr>
      <w:bookmarkStart w:id="59" w:name="_Toc423019119"/>
      <w:r>
        <w:rPr>
          <w:rFonts w:ascii="仿宋_GB2312" w:hAnsi="Times New Roman" w:eastAsia="仿宋_GB2312"/>
          <w:sz w:val="30"/>
          <w:szCs w:val="30"/>
        </w:rPr>
        <w:t>（二）已获得证书的学习者</w:t>
      </w:r>
      <w:bookmarkEnd w:id="59"/>
    </w:p>
    <w:p>
      <w:pPr>
        <w:ind w:firstLine="600" w:firstLineChars="200"/>
        <w:rPr>
          <w:rFonts w:ascii="仿宋_GB2312" w:hAnsi="Times New Roman" w:eastAsia="仿宋_GB2312"/>
          <w:kern w:val="0"/>
          <w:sz w:val="30"/>
          <w:szCs w:val="30"/>
        </w:rPr>
      </w:pPr>
      <w:r>
        <w:rPr>
          <w:rFonts w:hint="eastAsia" w:ascii="仿宋_GB2312" w:hAnsi="Times New Roman" w:eastAsia="仿宋_GB2312"/>
          <w:kern w:val="0"/>
          <w:sz w:val="30"/>
          <w:szCs w:val="30"/>
        </w:rPr>
        <w:t>学习者持已获得的与该学历教育专业相匹配的职业资格证书、岗位技能培训证书，可以到当地的学习成果认证分中心（认证点）申请认证，符合相关要求，为其出具学习成果认证证明，学习者持该证明到国家开放大学申请免修免考，并将学分存放于学分银行，待有学历教育需求时使用。</w:t>
      </w:r>
    </w:p>
    <w:p>
      <w:pPr>
        <w:ind w:firstLine="600" w:firstLineChars="200"/>
        <w:outlineLvl w:val="1"/>
        <w:rPr>
          <w:rFonts w:ascii="仿宋_GB2312" w:hAnsi="Times New Roman" w:eastAsia="仿宋_GB2312"/>
          <w:sz w:val="30"/>
          <w:szCs w:val="30"/>
        </w:rPr>
      </w:pPr>
      <w:bookmarkStart w:id="60" w:name="_Toc423019120"/>
      <w:r>
        <w:rPr>
          <w:rFonts w:ascii="仿宋_GB2312" w:hAnsi="Times New Roman" w:eastAsia="仿宋_GB2312"/>
          <w:sz w:val="30"/>
          <w:szCs w:val="30"/>
        </w:rPr>
        <w:t>（三）参加双证融通课程培训的学习者</w:t>
      </w:r>
      <w:bookmarkEnd w:id="60"/>
    </w:p>
    <w:p>
      <w:pPr>
        <w:ind w:firstLine="600" w:firstLineChars="200"/>
        <w:rPr>
          <w:rFonts w:ascii="仿宋_GB2312" w:hAnsi="Times New Roman" w:eastAsia="仿宋_GB2312"/>
          <w:sz w:val="30"/>
          <w:szCs w:val="30"/>
        </w:rPr>
      </w:pPr>
      <w:r>
        <w:rPr>
          <w:rFonts w:hint="eastAsia" w:ascii="仿宋_GB2312" w:hAnsi="Times New Roman" w:eastAsia="仿宋_GB2312"/>
          <w:kern w:val="0"/>
          <w:sz w:val="30"/>
          <w:szCs w:val="30"/>
        </w:rPr>
        <w:t>行业成员到经过学分银行或第三方认证的培训机构学习双证融通课程，通过考核成绩合格，达到资格颁发要求即可获取职业资格证书或岗位技能培训证书，并将其学习成果存入学分银行，待有学历教育需求时，即可持由学分银行出具的学习成果认证证明到国家开放大学申请免修免考</w:t>
      </w:r>
      <w:r>
        <w:rPr>
          <w:rFonts w:hint="eastAsia" w:ascii="仿宋_GB2312" w:hAnsi="Times New Roman" w:eastAsia="仿宋_GB2312"/>
          <w:sz w:val="30"/>
          <w:szCs w:val="30"/>
        </w:rPr>
        <w:t>。</w:t>
      </w:r>
    </w:p>
    <w:p>
      <w:pPr>
        <w:rPr>
          <w:rFonts w:ascii="Times New Roman" w:hAnsi="Times New Roman"/>
        </w:rPr>
      </w:pPr>
      <w:r>
        <w:rPr>
          <w:rFonts w:ascii="Times New Roman" w:hAnsi="Times New Roman"/>
        </w:rPr>
        <w:br w:type="page"/>
      </w:r>
    </w:p>
    <w:p>
      <w:pPr>
        <w:pStyle w:val="2"/>
        <w:spacing w:before="0" w:after="0"/>
        <w:ind w:firstLine="721"/>
        <w:jc w:val="center"/>
        <w:rPr>
          <w:rFonts w:ascii="华文中宋" w:hAnsi="华文中宋" w:eastAsia="华文中宋"/>
          <w:sz w:val="36"/>
          <w:szCs w:val="36"/>
        </w:rPr>
      </w:pPr>
      <w:bookmarkStart w:id="61" w:name="_Toc423019121"/>
      <w:r>
        <w:rPr>
          <w:rFonts w:ascii="华文中宋" w:hAnsi="华文中宋" w:eastAsia="华文中宋"/>
          <w:sz w:val="36"/>
          <w:szCs w:val="36"/>
        </w:rPr>
        <w:t>第七部分煤矿开采技术专业（专科）建设方案</w:t>
      </w:r>
      <w:bookmarkEnd w:id="61"/>
    </w:p>
    <w:p>
      <w:pPr>
        <w:pStyle w:val="2"/>
        <w:spacing w:beforeLines="50" w:afterLines="50" w:line="500" w:lineRule="exact"/>
        <w:ind w:firstLine="602"/>
        <w:rPr>
          <w:rFonts w:ascii="Times New Roman" w:hAnsi="Times New Roman" w:cs="Times New Roman"/>
          <w:sz w:val="30"/>
          <w:szCs w:val="30"/>
        </w:rPr>
      </w:pPr>
      <w:bookmarkStart w:id="62" w:name="_Toc423019122"/>
      <w:bookmarkStart w:id="63" w:name="_Toc3532"/>
      <w:r>
        <w:rPr>
          <w:rFonts w:ascii="Times New Roman" w:hAnsi="Times New Roman" w:cs="Times New Roman"/>
          <w:sz w:val="30"/>
          <w:szCs w:val="30"/>
        </w:rPr>
        <w:t>一、指导思想</w:t>
      </w:r>
      <w:bookmarkEnd w:id="62"/>
      <w:bookmarkEnd w:id="63"/>
    </w:p>
    <w:p>
      <w:pPr>
        <w:pStyle w:val="16"/>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以科学发展观为基础，全面贯彻党的教育方针和教育部制订的有关高等职业技术教育的文件精神，遵循高职教育教学规律和人才市场规律，以新时期的人才观、质量观、教学观来指导本专业的教学实施，体现人才培养的针对性、实用性，建立适应当前煤矿开采技术发展的人才培养模式，不断提高人才培养质量。</w:t>
      </w:r>
    </w:p>
    <w:p>
      <w:pPr>
        <w:pStyle w:val="2"/>
        <w:spacing w:beforeLines="50" w:afterLines="50" w:line="500" w:lineRule="exact"/>
        <w:ind w:firstLine="602"/>
        <w:rPr>
          <w:rFonts w:ascii="Times New Roman" w:hAnsi="Times New Roman" w:cs="Times New Roman"/>
          <w:sz w:val="30"/>
          <w:szCs w:val="30"/>
        </w:rPr>
      </w:pPr>
      <w:bookmarkStart w:id="64" w:name="_Toc152595243"/>
      <w:bookmarkStart w:id="65" w:name="_Toc19596"/>
      <w:bookmarkStart w:id="66" w:name="_Toc423019123"/>
      <w:r>
        <w:rPr>
          <w:rFonts w:ascii="Times New Roman" w:hAnsi="Times New Roman" w:cs="Times New Roman"/>
          <w:sz w:val="30"/>
          <w:szCs w:val="30"/>
        </w:rPr>
        <w:t>二、建设目标</w:t>
      </w:r>
      <w:bookmarkEnd w:id="64"/>
      <w:bookmarkEnd w:id="65"/>
      <w:bookmarkEnd w:id="66"/>
    </w:p>
    <w:p>
      <w:pPr>
        <w:pStyle w:val="16"/>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一个体系：构建以能力培养为核心、市场和企业需求为导向、结构优化的应用型专科教育学科体系。</w:t>
      </w:r>
    </w:p>
    <w:p>
      <w:pPr>
        <w:pStyle w:val="16"/>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三项模式：应用型人才培养模式、模块化教学模式、微课程制作模式。</w:t>
      </w:r>
    </w:p>
    <w:p>
      <w:pPr>
        <w:pStyle w:val="16"/>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三项任务：突出专业特色，形成一套全新的人才培养模式，将本专业建设成在行业内有影响力的示范性专业；进一步完善集教学、培训、职业技能鉴定、实训于一体的实训基地；培养一批在行业内具有先进开放教育理念的“双师型”教师队伍。</w:t>
      </w:r>
    </w:p>
    <w:p>
      <w:pPr>
        <w:pStyle w:val="2"/>
        <w:spacing w:beforeLines="50" w:afterLines="50" w:line="500" w:lineRule="exact"/>
        <w:ind w:firstLine="602"/>
        <w:rPr>
          <w:rFonts w:ascii="Times New Roman" w:hAnsi="Times New Roman" w:cs="Times New Roman"/>
          <w:sz w:val="30"/>
          <w:szCs w:val="30"/>
        </w:rPr>
      </w:pPr>
      <w:bookmarkStart w:id="67" w:name="_Toc152595244"/>
      <w:bookmarkStart w:id="68" w:name="_Toc17286"/>
      <w:bookmarkStart w:id="69" w:name="_Toc423019124"/>
      <w:r>
        <w:rPr>
          <w:rFonts w:ascii="Times New Roman" w:hAnsi="Times New Roman" w:cs="Times New Roman"/>
          <w:sz w:val="30"/>
          <w:szCs w:val="30"/>
        </w:rPr>
        <w:t>三、建设</w:t>
      </w:r>
      <w:bookmarkEnd w:id="67"/>
      <w:r>
        <w:rPr>
          <w:rFonts w:ascii="Times New Roman" w:hAnsi="Times New Roman" w:cs="Times New Roman"/>
          <w:sz w:val="30"/>
          <w:szCs w:val="30"/>
        </w:rPr>
        <w:t>基础</w:t>
      </w:r>
      <w:bookmarkEnd w:id="68"/>
      <w:bookmarkEnd w:id="69"/>
    </w:p>
    <w:p>
      <w:pPr>
        <w:pStyle w:val="16"/>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作为行业学院，煤炭学院由中国煤炭工业协会培训中心承办，具有以下优势：</w:t>
      </w:r>
    </w:p>
    <w:p>
      <w:pPr>
        <w:ind w:firstLine="585"/>
        <w:rPr>
          <w:rFonts w:ascii="Times New Roman" w:hAnsi="Times New Roman" w:eastAsia="仿宋_GB2312"/>
          <w:b/>
          <w:bCs/>
          <w:sz w:val="30"/>
          <w:szCs w:val="30"/>
        </w:rPr>
      </w:pPr>
      <w:bookmarkStart w:id="70" w:name="_Toc26244"/>
      <w:r>
        <w:rPr>
          <w:rFonts w:ascii="Times New Roman" w:hAnsi="Times New Roman" w:eastAsia="仿宋_GB2312"/>
          <w:b/>
          <w:bCs/>
          <w:sz w:val="30"/>
          <w:szCs w:val="30"/>
        </w:rPr>
        <w:t>1、专家团队</w:t>
      </w:r>
    </w:p>
    <w:p>
      <w:pPr>
        <w:ind w:firstLine="585"/>
        <w:rPr>
          <w:rFonts w:ascii="Times New Roman" w:hAnsi="Times New Roman" w:eastAsia="仿宋_GB2312"/>
          <w:sz w:val="30"/>
          <w:szCs w:val="30"/>
        </w:rPr>
      </w:pPr>
      <w:r>
        <w:rPr>
          <w:rFonts w:ascii="Times New Roman" w:hAnsi="Times New Roman" w:eastAsia="仿宋_GB2312"/>
          <w:sz w:val="30"/>
          <w:szCs w:val="30"/>
        </w:rPr>
        <w:t>煤炭学院充分发挥行业办学优势，专家团队（见附件2）依托于煤矿井工开采专业、煤矿安全专业、机械与电气设备专业等29个方向的煤炭工业技术委员会，1006名行业各领域专家。他们有来自于煤炭行业知名院校、科研机构、大型煤炭企业的知名专家、学者，也有来自于企业一线的实践型专家，层次分明、专业结构合理，为煤炭学院的发展规划、学科建设、专业调整、教学授课等工作提供强有力的支撑，保证学院的健康、可持续发展。</w:t>
      </w:r>
    </w:p>
    <w:p>
      <w:pPr>
        <w:ind w:firstLine="585"/>
        <w:rPr>
          <w:rFonts w:ascii="Times New Roman" w:hAnsi="Times New Roman" w:eastAsia="仿宋_GB2312"/>
          <w:b/>
          <w:bCs/>
          <w:sz w:val="30"/>
          <w:szCs w:val="30"/>
        </w:rPr>
      </w:pPr>
      <w:r>
        <w:rPr>
          <w:rFonts w:ascii="Times New Roman" w:hAnsi="Times New Roman" w:eastAsia="仿宋_GB2312"/>
          <w:b/>
          <w:bCs/>
          <w:sz w:val="30"/>
          <w:szCs w:val="30"/>
        </w:rPr>
        <w:t>2、组织实施</w:t>
      </w:r>
    </w:p>
    <w:p>
      <w:pPr>
        <w:ind w:firstLine="585"/>
        <w:rPr>
          <w:rFonts w:ascii="Times New Roman" w:hAnsi="Times New Roman" w:eastAsia="仿宋_GB2312"/>
          <w:sz w:val="30"/>
          <w:szCs w:val="30"/>
        </w:rPr>
      </w:pPr>
      <w:r>
        <w:rPr>
          <w:rFonts w:ascii="Times New Roman" w:hAnsi="Times New Roman" w:eastAsia="仿宋_GB2312"/>
          <w:sz w:val="30"/>
          <w:szCs w:val="30"/>
        </w:rPr>
        <w:t>煤炭学院在教学组织、实施过程中，将充分整合中国煤炭教育协会的资源优势。中国煤炭教育协会是经民政部登记注册的全国煤炭行业性协会，是由煤炭院校、社会有关高等院校、煤炭企业、煤炭工业和煤矿安全管理部门等单位自愿组成，挂靠单位为中国煤炭工业协会，业务主管单位为教育部。协会下设高等教育、职工教育、职业技术教育、基础教育4个分会，分别承担相应类别的人才培养与培训工作现有普通高等学校会员单位17个，高职高专会员单位30多个，中等职业学校会员单位100多个，煤炭企业会员单位70多个。</w:t>
      </w:r>
    </w:p>
    <w:p>
      <w:pPr>
        <w:ind w:firstLine="585"/>
        <w:rPr>
          <w:rFonts w:ascii="Times New Roman" w:hAnsi="Times New Roman" w:eastAsia="仿宋_GB2312"/>
          <w:sz w:val="30"/>
          <w:szCs w:val="30"/>
        </w:rPr>
      </w:pPr>
      <w:r>
        <w:rPr>
          <w:rFonts w:ascii="Times New Roman" w:hAnsi="Times New Roman" w:eastAsia="仿宋_GB2312"/>
          <w:sz w:val="30"/>
          <w:szCs w:val="30"/>
        </w:rPr>
        <w:t>煤炭学院在实训、实操环节，将充分整合中国煤炭工业协会职业技能鉴定指导中心的资源优势。与煤炭企业建立合作机制，在全国各地建立多个实训基地（见附件3），利用全国煤炭行业技能大师和大师工作室（见附件4）开展面向生产实践的教学和实习，充分利用企业、学院在教学资源上的各自优势，把课堂传授知识为主的理论教育与以实践能力、实际经验为主的生产、科研实践的有机结合，从本质上解决学校教育与社会需求脱节的问题，增强学生的社会竞争能力。</w:t>
      </w:r>
    </w:p>
    <w:p>
      <w:pPr>
        <w:ind w:firstLine="585"/>
        <w:rPr>
          <w:rFonts w:ascii="Times New Roman" w:hAnsi="Times New Roman" w:eastAsia="仿宋_GB2312"/>
          <w:b/>
          <w:bCs/>
          <w:sz w:val="30"/>
          <w:szCs w:val="30"/>
        </w:rPr>
      </w:pPr>
      <w:r>
        <w:rPr>
          <w:rFonts w:ascii="Times New Roman" w:hAnsi="Times New Roman" w:eastAsia="仿宋_GB2312"/>
          <w:b/>
          <w:bCs/>
          <w:sz w:val="30"/>
          <w:szCs w:val="30"/>
        </w:rPr>
        <w:t>3、双证书的分层设计与学分银行行业中心建设</w:t>
      </w:r>
    </w:p>
    <w:p>
      <w:pPr>
        <w:ind w:firstLine="585"/>
        <w:rPr>
          <w:rFonts w:ascii="Times New Roman" w:hAnsi="Times New Roman" w:eastAsia="仿宋_GB2312"/>
          <w:sz w:val="30"/>
          <w:szCs w:val="30"/>
        </w:rPr>
      </w:pPr>
      <w:r>
        <w:rPr>
          <w:rFonts w:ascii="Times New Roman" w:hAnsi="Times New Roman" w:eastAsia="仿宋_GB2312"/>
          <w:sz w:val="30"/>
          <w:szCs w:val="30"/>
        </w:rPr>
        <w:t>第一类，强制性证书，包括煤矿主要负责人、安全生产管理人员和特种作业人员证书（简称“三项岗位人员”）和注册安全工程师证书，简称“3+1”。发证单位：国家安监总局。</w:t>
      </w:r>
    </w:p>
    <w:p>
      <w:pPr>
        <w:ind w:firstLine="585"/>
        <w:rPr>
          <w:rFonts w:ascii="Times New Roman" w:hAnsi="Times New Roman" w:eastAsia="仿宋_GB2312"/>
          <w:sz w:val="30"/>
          <w:szCs w:val="30"/>
        </w:rPr>
      </w:pPr>
      <w:r>
        <w:rPr>
          <w:rFonts w:ascii="Times New Roman" w:hAnsi="Times New Roman" w:eastAsia="仿宋_GB2312"/>
          <w:sz w:val="30"/>
          <w:szCs w:val="30"/>
        </w:rPr>
        <w:t>第二类，技能鉴定证书，包括采煤工（技师）等煤炭行业职业技能鉴定类职业资格证书。发证单位：人力资源和社会保障部，具体实施单位：中国煤炭工业协会职业技能鉴定中心。</w:t>
      </w:r>
    </w:p>
    <w:p>
      <w:pPr>
        <w:ind w:firstLine="585"/>
        <w:rPr>
          <w:rFonts w:ascii="Times New Roman" w:hAnsi="Times New Roman" w:eastAsia="仿宋_GB2312"/>
          <w:sz w:val="30"/>
          <w:szCs w:val="30"/>
        </w:rPr>
      </w:pPr>
      <w:r>
        <w:rPr>
          <w:rFonts w:ascii="Times New Roman" w:hAnsi="Times New Roman" w:eastAsia="仿宋_GB2312"/>
          <w:sz w:val="30"/>
          <w:szCs w:val="30"/>
        </w:rPr>
        <w:t>第三类，国家职业大典中的职业证书。发证单位：人力资源和社会保障部</w:t>
      </w:r>
    </w:p>
    <w:p>
      <w:pPr>
        <w:ind w:firstLine="585"/>
        <w:rPr>
          <w:rFonts w:ascii="Times New Roman" w:hAnsi="Times New Roman" w:eastAsia="仿宋_GB2312"/>
          <w:sz w:val="30"/>
          <w:szCs w:val="30"/>
        </w:rPr>
      </w:pPr>
      <w:r>
        <w:rPr>
          <w:rFonts w:ascii="Times New Roman" w:hAnsi="Times New Roman" w:eastAsia="仿宋_GB2312"/>
          <w:sz w:val="30"/>
          <w:szCs w:val="30"/>
        </w:rPr>
        <w:t>第四类，项目证书，包括采煤师、通风师、机电师、掘进师证书和煤炭行业职业经理人执业资格证书。发证单位：中国煤炭工业协会。</w:t>
      </w:r>
    </w:p>
    <w:p>
      <w:pPr>
        <w:ind w:firstLine="585"/>
        <w:rPr>
          <w:rFonts w:ascii="Times New Roman" w:hAnsi="Times New Roman" w:eastAsia="仿宋_GB2312"/>
          <w:sz w:val="30"/>
          <w:szCs w:val="30"/>
        </w:rPr>
      </w:pPr>
      <w:r>
        <w:rPr>
          <w:rFonts w:ascii="Times New Roman" w:hAnsi="Times New Roman" w:eastAsia="仿宋_GB2312"/>
          <w:sz w:val="30"/>
          <w:szCs w:val="30"/>
        </w:rPr>
        <w:t>首选证书，是第二类证书——技能鉴定证书，目前已完成采煤工（技师）的学分银行学习成果认证标准制定工作。专家组形成如下意见：认证标准制定思路清晰，目标明确，方法适当。研究内容具体，研究体系完整，科学可行。本认证标准可用。</w:t>
      </w:r>
    </w:p>
    <w:p>
      <w:pPr>
        <w:ind w:firstLine="585"/>
        <w:rPr>
          <w:rFonts w:ascii="Times New Roman" w:hAnsi="Times New Roman" w:eastAsia="仿宋_GB2312"/>
          <w:sz w:val="30"/>
          <w:szCs w:val="30"/>
        </w:rPr>
      </w:pPr>
      <w:r>
        <w:rPr>
          <w:rFonts w:ascii="Times New Roman" w:hAnsi="Times New Roman" w:eastAsia="仿宋_GB2312"/>
          <w:sz w:val="30"/>
          <w:szCs w:val="30"/>
        </w:rPr>
        <w:t>第二转换证书，也是当前及未来一段时间的安排（中期安排），即第一类证书——强制性证书。</w:t>
      </w:r>
    </w:p>
    <w:p>
      <w:pPr>
        <w:ind w:firstLine="585"/>
        <w:rPr>
          <w:rFonts w:ascii="Times New Roman" w:hAnsi="Times New Roman" w:eastAsia="仿宋_GB2312"/>
          <w:sz w:val="30"/>
          <w:szCs w:val="30"/>
        </w:rPr>
      </w:pPr>
      <w:r>
        <w:rPr>
          <w:rFonts w:ascii="Times New Roman" w:hAnsi="Times New Roman" w:eastAsia="仿宋_GB2312"/>
          <w:sz w:val="30"/>
          <w:szCs w:val="30"/>
        </w:rPr>
        <w:t>第三转换证书，也是中远期安排，即第四类证书——项目证书。</w:t>
      </w:r>
    </w:p>
    <w:p>
      <w:pPr>
        <w:ind w:firstLine="585"/>
        <w:rPr>
          <w:rFonts w:ascii="Times New Roman" w:hAnsi="Times New Roman" w:eastAsia="仿宋_GB2312"/>
          <w:sz w:val="30"/>
          <w:szCs w:val="30"/>
        </w:rPr>
      </w:pPr>
      <w:r>
        <w:rPr>
          <w:rFonts w:ascii="Times New Roman" w:hAnsi="Times New Roman" w:eastAsia="仿宋_GB2312"/>
          <w:sz w:val="30"/>
          <w:szCs w:val="30"/>
        </w:rPr>
        <w:t>第四转换证书，也是远期安排，即第三类证书——国家职业大典中职业证书。</w:t>
      </w:r>
    </w:p>
    <w:p>
      <w:pPr>
        <w:ind w:firstLine="585"/>
        <w:rPr>
          <w:rFonts w:ascii="Times New Roman" w:hAnsi="Times New Roman" w:eastAsia="仿宋_GB2312"/>
          <w:b/>
          <w:bCs/>
          <w:sz w:val="30"/>
          <w:szCs w:val="30"/>
        </w:rPr>
      </w:pPr>
      <w:r>
        <w:rPr>
          <w:rFonts w:ascii="Times New Roman" w:hAnsi="Times New Roman" w:eastAsia="仿宋_GB2312"/>
          <w:b/>
          <w:bCs/>
          <w:sz w:val="30"/>
          <w:szCs w:val="30"/>
        </w:rPr>
        <w:t>4.煤炭学院办学实践</w:t>
      </w:r>
    </w:p>
    <w:p>
      <w:pPr>
        <w:ind w:firstLine="585"/>
        <w:rPr>
          <w:rFonts w:ascii="Times New Roman" w:hAnsi="Times New Roman" w:eastAsia="仿宋_GB2312"/>
          <w:sz w:val="30"/>
          <w:szCs w:val="30"/>
        </w:rPr>
      </w:pPr>
      <w:r>
        <w:rPr>
          <w:rFonts w:ascii="Times New Roman" w:hAnsi="Times New Roman" w:eastAsia="仿宋_GB2312"/>
          <w:sz w:val="30"/>
          <w:szCs w:val="30"/>
        </w:rPr>
        <w:t>作为行业学院，国家开放大学煤炭学院由中国煤炭工业协会培训中心承办，具有以下办学实践：</w:t>
      </w:r>
    </w:p>
    <w:p>
      <w:pPr>
        <w:ind w:firstLine="585"/>
        <w:rPr>
          <w:rFonts w:ascii="Times New Roman" w:hAnsi="Times New Roman" w:eastAsia="仿宋_GB2312"/>
          <w:sz w:val="30"/>
          <w:szCs w:val="30"/>
        </w:rPr>
      </w:pPr>
      <w:r>
        <w:rPr>
          <w:rFonts w:ascii="Times New Roman" w:hAnsi="Times New Roman" w:eastAsia="仿宋_GB2312"/>
          <w:sz w:val="30"/>
          <w:szCs w:val="30"/>
        </w:rPr>
        <w:t>（1）2004年—2006年，和中国矿业大学联合开办采矿、矿山机电、矿山地质与测量、矿山安全等四个主体专业，专、本两个层次的课程进修班，共培养了1584人。</w:t>
      </w:r>
    </w:p>
    <w:p>
      <w:pPr>
        <w:ind w:firstLine="585"/>
        <w:rPr>
          <w:rFonts w:ascii="Times New Roman" w:hAnsi="Times New Roman" w:eastAsia="仿宋_GB2312"/>
          <w:sz w:val="30"/>
          <w:szCs w:val="30"/>
        </w:rPr>
      </w:pPr>
      <w:r>
        <w:rPr>
          <w:rFonts w:ascii="Times New Roman" w:hAnsi="Times New Roman" w:eastAsia="仿宋_GB2312"/>
          <w:sz w:val="30"/>
          <w:szCs w:val="30"/>
        </w:rPr>
        <w:t>（2）2012年—2013年，和中国石油大学（华东）共同举办机械设计制造及其自动化、安全工程等11个专升本，机电一体化技术、电气自动化技术、化工工艺等9个高起专专业的招生工作，共培养1801人。</w:t>
      </w:r>
    </w:p>
    <w:p>
      <w:pPr>
        <w:ind w:firstLine="585"/>
        <w:rPr>
          <w:rFonts w:ascii="Times New Roman" w:hAnsi="Times New Roman" w:eastAsia="仿宋_GB2312"/>
          <w:sz w:val="30"/>
          <w:szCs w:val="30"/>
        </w:rPr>
      </w:pPr>
      <w:r>
        <w:rPr>
          <w:rFonts w:ascii="Times New Roman" w:hAnsi="Times New Roman" w:eastAsia="仿宋_GB2312"/>
          <w:sz w:val="30"/>
          <w:szCs w:val="30"/>
        </w:rPr>
        <w:t>（3）经中组部干教局授权，开展行业工商管理培训，取证总人数13500人；开展煤炭行业职业经理人（煤炭行业标准）资格认证培训，取证人数6600余人；国家专业技术人才知识更新工程培训项目网络培训17万余人次；乌金蓝领工程网上培训班组长2742人；累计通过网络培训600多万人次。</w:t>
      </w:r>
    </w:p>
    <w:p>
      <w:pPr>
        <w:ind w:firstLine="585"/>
        <w:rPr>
          <w:rFonts w:ascii="Times New Roman" w:hAnsi="Times New Roman" w:eastAsia="仿宋_GB2312"/>
          <w:sz w:val="30"/>
          <w:szCs w:val="30"/>
        </w:rPr>
      </w:pPr>
      <w:r>
        <w:rPr>
          <w:rFonts w:ascii="Times New Roman" w:hAnsi="Times New Roman" w:eastAsia="仿宋_GB2312"/>
          <w:sz w:val="30"/>
          <w:szCs w:val="30"/>
        </w:rPr>
        <w:t>（4）煤炭远教网网络已覆盖全国20余个省（区、市）的大型特大型煤炭企业近80%，平均每年制作播出近2000课时课程，资源总量达9635课时。出版了煤炭行业5大领域34本国家专业技术人才知识更新工程教材、4本煤矿班组长培训教材、12本工商管理和煤炭行业职业经理人指定培训教材。</w:t>
      </w:r>
    </w:p>
    <w:p>
      <w:pPr>
        <w:ind w:firstLine="585"/>
        <w:rPr>
          <w:rFonts w:ascii="Times New Roman" w:hAnsi="Times New Roman" w:eastAsia="仿宋_GB2312"/>
          <w:b/>
          <w:bCs/>
          <w:sz w:val="30"/>
          <w:szCs w:val="30"/>
        </w:rPr>
      </w:pPr>
      <w:r>
        <w:rPr>
          <w:rFonts w:ascii="Times New Roman" w:hAnsi="Times New Roman" w:eastAsia="仿宋_GB2312"/>
          <w:b/>
          <w:bCs/>
          <w:sz w:val="30"/>
          <w:szCs w:val="30"/>
        </w:rPr>
        <w:t>5.煤炭学院办学特点</w:t>
      </w:r>
    </w:p>
    <w:p>
      <w:pPr>
        <w:ind w:firstLine="585"/>
        <w:rPr>
          <w:rFonts w:ascii="Times New Roman" w:hAnsi="Times New Roman" w:eastAsia="仿宋_GB2312"/>
          <w:sz w:val="30"/>
          <w:szCs w:val="30"/>
        </w:rPr>
      </w:pPr>
      <w:r>
        <w:rPr>
          <w:rFonts w:ascii="Times New Roman" w:hAnsi="Times New Roman" w:eastAsia="仿宋_GB2312"/>
          <w:sz w:val="30"/>
          <w:szCs w:val="30"/>
        </w:rPr>
        <w:t>（1）面向就业，无缝对接</w:t>
      </w:r>
    </w:p>
    <w:p>
      <w:pPr>
        <w:ind w:firstLine="585"/>
        <w:rPr>
          <w:rFonts w:ascii="Times New Roman" w:hAnsi="Times New Roman" w:eastAsia="仿宋_GB2312"/>
          <w:sz w:val="30"/>
          <w:szCs w:val="30"/>
        </w:rPr>
      </w:pPr>
      <w:r>
        <w:rPr>
          <w:rFonts w:ascii="Times New Roman" w:hAnsi="Times New Roman" w:eastAsia="仿宋_GB2312"/>
          <w:sz w:val="30"/>
          <w:szCs w:val="30"/>
        </w:rPr>
        <w:t>中国煤炭工业协会会员单位既是采矿工程专业的生源保障，更是采矿工程专业毕业学生的就业渠道。</w:t>
      </w:r>
    </w:p>
    <w:p>
      <w:pPr>
        <w:ind w:firstLine="585"/>
        <w:rPr>
          <w:rFonts w:ascii="Times New Roman" w:hAnsi="Times New Roman" w:eastAsia="仿宋_GB2312"/>
          <w:sz w:val="30"/>
          <w:szCs w:val="30"/>
        </w:rPr>
      </w:pPr>
      <w:r>
        <w:rPr>
          <w:rFonts w:ascii="Times New Roman" w:hAnsi="Times New Roman" w:eastAsia="仿宋_GB2312"/>
          <w:sz w:val="30"/>
          <w:szCs w:val="30"/>
        </w:rPr>
        <w:t>（2）产教融合，突出特色</w:t>
      </w:r>
    </w:p>
    <w:p>
      <w:pPr>
        <w:ind w:firstLine="585"/>
        <w:rPr>
          <w:rFonts w:ascii="Times New Roman" w:hAnsi="Times New Roman" w:eastAsia="仿宋_GB2312"/>
          <w:sz w:val="30"/>
          <w:szCs w:val="30"/>
        </w:rPr>
      </w:pPr>
      <w:r>
        <w:rPr>
          <w:rFonts w:ascii="Times New Roman" w:hAnsi="Times New Roman" w:eastAsia="仿宋_GB2312"/>
          <w:sz w:val="30"/>
          <w:szCs w:val="30"/>
        </w:rPr>
        <w:t>煤炭学院将突出行业学院办学特色，实施“特色学院、特色学科、特色专业”建设计划。强化校企协同育人，大力推进产教一体化办学，形成相关利益方参与的社会共建机制。</w:t>
      </w:r>
    </w:p>
    <w:p>
      <w:pPr>
        <w:ind w:firstLine="585"/>
        <w:rPr>
          <w:rFonts w:ascii="Times New Roman" w:hAnsi="Times New Roman" w:eastAsia="仿宋_GB2312"/>
          <w:sz w:val="30"/>
          <w:szCs w:val="30"/>
        </w:rPr>
      </w:pPr>
      <w:r>
        <w:rPr>
          <w:rFonts w:ascii="Times New Roman" w:hAnsi="Times New Roman" w:eastAsia="仿宋_GB2312"/>
          <w:sz w:val="30"/>
          <w:szCs w:val="30"/>
        </w:rPr>
        <w:t>（3）建设“双师型”教师队伍</w:t>
      </w:r>
    </w:p>
    <w:p>
      <w:pPr>
        <w:ind w:firstLine="585"/>
        <w:rPr>
          <w:rFonts w:ascii="Times New Roman" w:hAnsi="Times New Roman" w:eastAsia="仿宋_GB2312"/>
          <w:sz w:val="30"/>
          <w:szCs w:val="30"/>
        </w:rPr>
      </w:pPr>
      <w:r>
        <w:rPr>
          <w:rFonts w:ascii="Times New Roman" w:hAnsi="Times New Roman" w:eastAsia="仿宋_GB2312"/>
          <w:sz w:val="30"/>
          <w:szCs w:val="30"/>
        </w:rPr>
        <w:t>煤炭学院拥有上百名来自高校、企业、科研机构的知名专家队伍，学院的任课教师将从专家队伍中择优聘用。实施以专业带头人为核心，专兼结合、结构合理、动态组合、团结协作的团队组织模式。这些专家有深厚扎实的理论知识，有一线工作的丰富经验，更有对行业、企业现状的深刻认知，授课内容理论结合实际并侧重于应用，因而更适合职业继续教育的个性需求。</w:t>
      </w:r>
    </w:p>
    <w:p>
      <w:pPr>
        <w:ind w:firstLine="585"/>
        <w:rPr>
          <w:rFonts w:ascii="Times New Roman" w:hAnsi="Times New Roman" w:eastAsia="仿宋_GB2312"/>
          <w:sz w:val="30"/>
          <w:szCs w:val="30"/>
        </w:rPr>
      </w:pPr>
      <w:r>
        <w:rPr>
          <w:rFonts w:ascii="Times New Roman" w:hAnsi="Times New Roman" w:eastAsia="仿宋_GB2312"/>
          <w:sz w:val="30"/>
          <w:szCs w:val="30"/>
        </w:rPr>
        <w:t>实施专业教学团队建设、兼职教师资源库建设和教学名师、专业教学能手、教坛新秀培养“五项工程”，以教师整体素质提高为中心，以“双师型”教师队伍建设为重点，培养、引进、聘请相结合，院企互通，共同打造素质优良、结构合理、专兼结合的“双师型”优秀专业教学团队。</w:t>
      </w:r>
    </w:p>
    <w:p>
      <w:pPr>
        <w:ind w:firstLine="585"/>
        <w:rPr>
          <w:rFonts w:ascii="Times New Roman" w:hAnsi="Times New Roman" w:eastAsia="仿宋_GB2312"/>
          <w:sz w:val="30"/>
          <w:szCs w:val="30"/>
        </w:rPr>
      </w:pPr>
      <w:r>
        <w:rPr>
          <w:rFonts w:ascii="Times New Roman" w:hAnsi="Times New Roman" w:eastAsia="仿宋_GB2312"/>
          <w:sz w:val="30"/>
          <w:szCs w:val="30"/>
        </w:rPr>
        <w:t>（4）创建行业创新性实践基地</w:t>
      </w:r>
    </w:p>
    <w:p>
      <w:pPr>
        <w:ind w:firstLine="600" w:firstLineChars="200"/>
        <w:rPr>
          <w:rFonts w:ascii="Times New Roman" w:hAnsi="Times New Roman" w:eastAsia="仿宋_GB2312"/>
          <w:sz w:val="30"/>
          <w:szCs w:val="30"/>
        </w:rPr>
      </w:pPr>
      <w:r>
        <w:rPr>
          <w:rFonts w:ascii="Times New Roman" w:hAnsi="Times New Roman" w:eastAsia="仿宋_GB2312"/>
          <w:sz w:val="30"/>
          <w:szCs w:val="30"/>
        </w:rPr>
        <w:t>建立教学产品研发相应组织机构（大师工作室、教学产品设计室、专业教师工作站、企业专家工作站等）。结合本专业建设，根据实训基地现有条件，完成生产工艺全部生产活动的标准、规范、制度设计。</w:t>
      </w:r>
    </w:p>
    <w:p>
      <w:pPr>
        <w:ind w:firstLine="585"/>
        <w:rPr>
          <w:rFonts w:ascii="Times New Roman" w:hAnsi="Times New Roman" w:eastAsia="仿宋_GB2312"/>
          <w:sz w:val="30"/>
          <w:szCs w:val="30"/>
        </w:rPr>
      </w:pPr>
      <w:r>
        <w:rPr>
          <w:rFonts w:ascii="Times New Roman" w:hAnsi="Times New Roman" w:eastAsia="仿宋_GB2312"/>
          <w:sz w:val="30"/>
          <w:szCs w:val="30"/>
        </w:rPr>
        <w:t>按照所研发的本专业教学产品生产需求，整合现有实训教学资源，通过链接生产全过程的设施设备购置、生产设备调试运行、生产企业管理模式引入等，打造行业实训基地生产环境。结合以教学产品为纽带的生产性校内实训基地建设，推动全方位、深层次的教育教学改革，实施专业教师实践性教学能力提升培训。结合以教学产品为纽带的生产性校内实训基地建设，提升煤炭学院服务地方经济、服务企业需求的能力，快速提高服务质量。</w:t>
      </w:r>
    </w:p>
    <w:p>
      <w:pPr>
        <w:pStyle w:val="2"/>
        <w:spacing w:beforeLines="50" w:afterLines="50" w:line="500" w:lineRule="exact"/>
        <w:ind w:firstLine="602"/>
        <w:rPr>
          <w:rFonts w:ascii="Times New Roman" w:hAnsi="Times New Roman" w:cs="Times New Roman"/>
          <w:sz w:val="30"/>
          <w:szCs w:val="30"/>
        </w:rPr>
      </w:pPr>
      <w:bookmarkStart w:id="71" w:name="_Toc423019125"/>
      <w:r>
        <w:rPr>
          <w:rFonts w:ascii="Times New Roman" w:hAnsi="Times New Roman" w:cs="Times New Roman"/>
          <w:sz w:val="30"/>
          <w:szCs w:val="30"/>
        </w:rPr>
        <w:t>四、建设模式</w:t>
      </w:r>
      <w:bookmarkEnd w:id="70"/>
      <w:bookmarkEnd w:id="71"/>
    </w:p>
    <w:p>
      <w:pPr>
        <w:spacing w:line="360" w:lineRule="auto"/>
        <w:ind w:firstLine="600" w:firstLineChars="200"/>
        <w:rPr>
          <w:rFonts w:ascii="Times New Roman" w:hAnsi="Times New Roman"/>
          <w:sz w:val="24"/>
        </w:rPr>
      </w:pPr>
      <w:r>
        <w:rPr>
          <w:rFonts w:ascii="Times New Roman" w:hAnsi="Times New Roman" w:eastAsia="仿宋_GB2312"/>
          <w:sz w:val="30"/>
          <w:szCs w:val="30"/>
        </w:rPr>
        <w:t>采取专业共享的模式建设本专业，边建设边教学。共享模式分为两种，一种是国家开放大学、省市级开放大学系统，一种是煤炭学院及其学习中心系统。</w:t>
      </w:r>
    </w:p>
    <w:p>
      <w:pPr>
        <w:pStyle w:val="2"/>
        <w:spacing w:beforeLines="50" w:afterLines="50" w:line="500" w:lineRule="exact"/>
        <w:ind w:firstLine="602"/>
        <w:rPr>
          <w:rFonts w:ascii="Times New Roman" w:hAnsi="Times New Roman" w:cs="Times New Roman"/>
          <w:sz w:val="30"/>
          <w:szCs w:val="30"/>
        </w:rPr>
      </w:pPr>
      <w:bookmarkStart w:id="72" w:name="_Toc26469"/>
      <w:bookmarkStart w:id="73" w:name="_Toc423019126"/>
      <w:r>
        <w:rPr>
          <w:rFonts w:ascii="Times New Roman" w:hAnsi="Times New Roman" w:cs="Times New Roman"/>
          <w:sz w:val="30"/>
          <w:szCs w:val="30"/>
        </w:rPr>
        <w:t>五、建设内容与进度计划</w:t>
      </w:r>
      <w:bookmarkEnd w:id="72"/>
      <w:bookmarkEnd w:id="73"/>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建设的主要内容包括：课程资源建设、教材（讲义）建设、适于远程教学的视频课件（录像、PPT等）建设、校内（校外）实训基地建设和师资队伍建设。</w:t>
      </w:r>
    </w:p>
    <w:p>
      <w:pPr>
        <w:pStyle w:val="3"/>
        <w:spacing w:beforeLines="50" w:afterLines="50" w:line="500" w:lineRule="exact"/>
        <w:ind w:firstLine="602" w:firstLineChars="200"/>
        <w:rPr>
          <w:rFonts w:ascii="Times New Roman" w:hAnsi="Times New Roman" w:eastAsia="仿宋_GB2312" w:cs="Times New Roman"/>
          <w:sz w:val="30"/>
          <w:szCs w:val="30"/>
        </w:rPr>
      </w:pPr>
      <w:bookmarkStart w:id="74" w:name="_Toc14424"/>
      <w:bookmarkStart w:id="75" w:name="_Toc423019127"/>
      <w:r>
        <w:rPr>
          <w:rFonts w:ascii="Times New Roman" w:hAnsi="Times New Roman" w:eastAsia="仿宋_GB2312" w:cs="Times New Roman"/>
          <w:sz w:val="30"/>
          <w:szCs w:val="30"/>
        </w:rPr>
        <w:t>（一）教学资源建设</w:t>
      </w:r>
      <w:bookmarkEnd w:id="74"/>
      <w:bookmarkEnd w:id="75"/>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1．多媒体课件与课堂录像</w:t>
      </w:r>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两年内完成全部课程的课件制作，并保证教学使用。</w:t>
      </w:r>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2．文字教材</w:t>
      </w:r>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教材采用自建、共建和引进三种方式完成。本专业将结合煤炭行业特点，开发突出专业职业能力的教材（讲义），联合部分兄弟院校共同开展课程资源建设及专业建设工作。</w:t>
      </w:r>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3．卷库和题库建设</w:t>
      </w:r>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2015年内完成第一学期全部必修课程的卷库建设，并保证教学使用；2016年6月前完成全部课程的题库建设并使用。</w:t>
      </w:r>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4、教学资源情况</w:t>
      </w:r>
    </w:p>
    <w:p>
      <w:pPr>
        <w:pStyle w:val="16"/>
        <w:spacing w:line="360" w:lineRule="auto"/>
        <w:ind w:firstLine="422"/>
        <w:rPr>
          <w:rFonts w:ascii="Times New Roman" w:hAnsi="Times New Roman" w:cs="Times New Roman"/>
          <w:b/>
          <w:bCs/>
          <w:sz w:val="21"/>
          <w:szCs w:val="21"/>
        </w:rPr>
      </w:pPr>
      <w:r>
        <w:rPr>
          <w:rFonts w:ascii="Times New Roman" w:hAnsi="Times New Roman" w:cs="Times New Roman"/>
          <w:b/>
          <w:bCs/>
          <w:sz w:val="21"/>
          <w:szCs w:val="21"/>
        </w:rPr>
        <w:t>表一</w:t>
      </w:r>
    </w:p>
    <w:tbl>
      <w:tblPr>
        <w:tblStyle w:val="21"/>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2585"/>
        <w:gridCol w:w="709"/>
        <w:gridCol w:w="838"/>
        <w:gridCol w:w="992"/>
        <w:gridCol w:w="991"/>
        <w:gridCol w:w="984"/>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jc w:val="center"/>
        </w:trPr>
        <w:tc>
          <w:tcPr>
            <w:tcW w:w="529" w:type="dxa"/>
            <w:vMerge w:val="restart"/>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序</w:t>
            </w:r>
          </w:p>
          <w:p>
            <w:pPr>
              <w:jc w:val="center"/>
              <w:rPr>
                <w:rFonts w:ascii="Times New Roman" w:hAnsi="Times New Roman"/>
                <w:b/>
                <w:szCs w:val="21"/>
              </w:rPr>
            </w:pPr>
            <w:r>
              <w:rPr>
                <w:rFonts w:ascii="Times New Roman" w:hAnsi="Times New Roman"/>
                <w:b/>
                <w:szCs w:val="21"/>
              </w:rPr>
              <w:t>号</w:t>
            </w:r>
          </w:p>
        </w:tc>
        <w:tc>
          <w:tcPr>
            <w:tcW w:w="2585" w:type="dxa"/>
            <w:vMerge w:val="restart"/>
            <w:tcBorders>
              <w:top w:val="single" w:color="auto" w:sz="4" w:space="0"/>
              <w:left w:val="single" w:color="auto" w:sz="4" w:space="0"/>
              <w:bottom w:val="single" w:color="auto" w:sz="4" w:space="0"/>
              <w:right w:val="single" w:color="auto" w:sz="4" w:space="0"/>
            </w:tcBorders>
            <w:shd w:val="clear" w:color="auto" w:fill="CCFFCC"/>
            <w:vAlign w:val="center"/>
          </w:tcPr>
          <w:p>
            <w:pPr>
              <w:rPr>
                <w:rFonts w:ascii="Times New Roman" w:hAnsi="Times New Roman"/>
                <w:b/>
                <w:szCs w:val="21"/>
              </w:rPr>
            </w:pPr>
            <w:r>
              <w:rPr>
                <w:rFonts w:ascii="Times New Roman" w:hAnsi="Times New Roman"/>
                <w:b/>
                <w:snapToGrid w:val="0"/>
                <w:szCs w:val="21"/>
              </w:rPr>
              <w:t>课程名称</w:t>
            </w:r>
          </w:p>
        </w:tc>
        <w:tc>
          <w:tcPr>
            <w:tcW w:w="1547" w:type="dxa"/>
            <w:gridSpan w:val="2"/>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教材</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IP</w:t>
            </w:r>
          </w:p>
        </w:tc>
        <w:tc>
          <w:tcPr>
            <w:tcW w:w="991" w:type="dxa"/>
            <w:vMerge w:val="restart"/>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CAI</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录像</w:t>
            </w:r>
          </w:p>
        </w:tc>
        <w:tc>
          <w:tcPr>
            <w:tcW w:w="733" w:type="dxa"/>
            <w:vMerge w:val="restart"/>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52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b/>
                <w:szCs w:val="21"/>
              </w:rPr>
            </w:pPr>
          </w:p>
        </w:tc>
        <w:tc>
          <w:tcPr>
            <w:tcW w:w="25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b/>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CCFFCC"/>
            <w:vAlign w:val="center"/>
          </w:tcPr>
          <w:p>
            <w:pPr>
              <w:rPr>
                <w:rFonts w:ascii="Times New Roman" w:hAnsi="Times New Roman"/>
                <w:b/>
                <w:szCs w:val="21"/>
              </w:rPr>
            </w:pPr>
            <w:r>
              <w:rPr>
                <w:rFonts w:ascii="Times New Roman" w:hAnsi="Times New Roman"/>
                <w:b/>
                <w:szCs w:val="21"/>
              </w:rPr>
              <w:t>讲义</w:t>
            </w:r>
          </w:p>
        </w:tc>
        <w:tc>
          <w:tcPr>
            <w:tcW w:w="838" w:type="dxa"/>
            <w:tcBorders>
              <w:top w:val="single" w:color="auto" w:sz="4" w:space="0"/>
              <w:left w:val="single" w:color="auto" w:sz="4" w:space="0"/>
              <w:bottom w:val="single" w:color="auto" w:sz="4" w:space="0"/>
              <w:right w:val="single" w:color="auto" w:sz="4" w:space="0"/>
            </w:tcBorders>
            <w:shd w:val="clear" w:color="auto" w:fill="CCFFCC"/>
            <w:vAlign w:val="center"/>
          </w:tcPr>
          <w:p>
            <w:pPr>
              <w:rPr>
                <w:rFonts w:ascii="Times New Roman" w:hAnsi="Times New Roman"/>
                <w:b/>
                <w:szCs w:val="21"/>
              </w:rPr>
            </w:pPr>
            <w:r>
              <w:rPr>
                <w:rFonts w:ascii="Times New Roman" w:hAnsi="Times New Roman"/>
                <w:b/>
                <w:szCs w:val="21"/>
              </w:rPr>
              <w:t>出版</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b/>
                <w:szCs w:val="21"/>
              </w:rPr>
            </w:pPr>
          </w:p>
        </w:tc>
        <w:tc>
          <w:tcPr>
            <w:tcW w:w="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b/>
                <w:szCs w:val="21"/>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b/>
                <w:szCs w:val="21"/>
              </w:rPr>
            </w:pPr>
          </w:p>
        </w:tc>
        <w:tc>
          <w:tcPr>
            <w:tcW w:w="733"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spacing w:val="-6"/>
                <w:kern w:val="0"/>
                <w:sz w:val="18"/>
                <w:szCs w:val="18"/>
              </w:rPr>
            </w:pPr>
            <w:r>
              <w:rPr>
                <w:rFonts w:ascii="Times New Roman" w:hAnsi="Times New Roman"/>
                <w:spacing w:val="-6"/>
                <w:kern w:val="0"/>
                <w:sz w:val="18"/>
                <w:szCs w:val="18"/>
              </w:rPr>
              <w:t>中国特色社会主义理论体系概论</w:t>
            </w:r>
          </w:p>
        </w:tc>
        <w:tc>
          <w:tcPr>
            <w:tcW w:w="4514" w:type="dxa"/>
            <w:gridSpan w:val="5"/>
            <w:vMerge w:val="restar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国家开放大学已开设课程</w:t>
            </w:r>
          </w:p>
          <w:p>
            <w:pPr>
              <w:rPr>
                <w:rFonts w:ascii="Times New Roman" w:hAnsi="Times New Roman"/>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国家开放大学学习指南</w:t>
            </w:r>
          </w:p>
        </w:tc>
        <w:tc>
          <w:tcPr>
            <w:tcW w:w="4514" w:type="dxa"/>
            <w:gridSpan w:val="5"/>
            <w:vMerge w:val="continue"/>
            <w:tcBorders>
              <w:left w:val="single" w:color="auto" w:sz="4" w:space="0"/>
              <w:right w:val="single" w:color="auto" w:sz="4" w:space="0"/>
            </w:tcBorders>
            <w:vAlign w:val="center"/>
          </w:tcPr>
          <w:p>
            <w:pPr>
              <w:rPr>
                <w:rFonts w:ascii="Times New Roman" w:hAnsi="Times New Roman"/>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3</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计算机应用基础</w:t>
            </w:r>
          </w:p>
        </w:tc>
        <w:tc>
          <w:tcPr>
            <w:tcW w:w="4514" w:type="dxa"/>
            <w:gridSpan w:val="5"/>
            <w:vMerge w:val="continue"/>
            <w:tcBorders>
              <w:left w:val="single" w:color="auto" w:sz="4" w:space="0"/>
              <w:right w:val="single" w:color="auto" w:sz="4" w:space="0"/>
            </w:tcBorders>
            <w:vAlign w:val="center"/>
          </w:tcPr>
          <w:p>
            <w:pPr>
              <w:rPr>
                <w:rFonts w:ascii="Times New Roman" w:hAnsi="Times New Roman"/>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4</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高等数学基础</w:t>
            </w:r>
          </w:p>
        </w:tc>
        <w:tc>
          <w:tcPr>
            <w:tcW w:w="4514" w:type="dxa"/>
            <w:gridSpan w:val="5"/>
            <w:vMerge w:val="continue"/>
            <w:tcBorders>
              <w:left w:val="single" w:color="auto" w:sz="4" w:space="0"/>
              <w:right w:val="single" w:color="auto" w:sz="4" w:space="0"/>
            </w:tcBorders>
            <w:vAlign w:val="center"/>
          </w:tcPr>
          <w:p>
            <w:pPr>
              <w:rPr>
                <w:rFonts w:ascii="Times New Roman" w:hAnsi="Times New Roman"/>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5</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英语I（1）</w:t>
            </w:r>
          </w:p>
        </w:tc>
        <w:tc>
          <w:tcPr>
            <w:tcW w:w="4514" w:type="dxa"/>
            <w:gridSpan w:val="5"/>
            <w:vMerge w:val="continue"/>
            <w:tcBorders>
              <w:left w:val="single" w:color="auto" w:sz="4" w:space="0"/>
              <w:right w:val="single" w:color="auto" w:sz="4" w:space="0"/>
            </w:tcBorders>
            <w:vAlign w:val="center"/>
          </w:tcPr>
          <w:p>
            <w:pPr>
              <w:rPr>
                <w:rFonts w:ascii="Times New Roman" w:hAnsi="Times New Roman"/>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6</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机械制图</w:t>
            </w:r>
          </w:p>
        </w:tc>
        <w:tc>
          <w:tcPr>
            <w:tcW w:w="4514" w:type="dxa"/>
            <w:gridSpan w:val="5"/>
            <w:vMerge w:val="continue"/>
            <w:tcBorders>
              <w:left w:val="single" w:color="auto" w:sz="4" w:space="0"/>
              <w:right w:val="single" w:color="auto" w:sz="4" w:space="0"/>
            </w:tcBorders>
            <w:vAlign w:val="center"/>
          </w:tcPr>
          <w:p>
            <w:pPr>
              <w:rPr>
                <w:rFonts w:ascii="Times New Roman" w:hAnsi="Times New Roman"/>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7</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煤矿地质</w:t>
            </w:r>
          </w:p>
        </w:tc>
        <w:tc>
          <w:tcPr>
            <w:tcW w:w="4514" w:type="dxa"/>
            <w:gridSpan w:val="5"/>
            <w:vMerge w:val="continue"/>
            <w:tcBorders>
              <w:left w:val="single" w:color="auto" w:sz="4" w:space="0"/>
              <w:right w:val="single" w:color="auto" w:sz="4" w:space="0"/>
            </w:tcBorders>
          </w:tcPr>
          <w:p>
            <w:pPr>
              <w:rPr>
                <w:rFonts w:ascii="Times New Roman" w:hAnsi="Times New Roman"/>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8</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电工电子技术</w:t>
            </w:r>
          </w:p>
        </w:tc>
        <w:tc>
          <w:tcPr>
            <w:tcW w:w="4514" w:type="dxa"/>
            <w:gridSpan w:val="5"/>
            <w:vMerge w:val="continue"/>
            <w:tcBorders>
              <w:left w:val="single" w:color="auto" w:sz="4" w:space="0"/>
              <w:right w:val="single" w:color="auto" w:sz="4" w:space="0"/>
            </w:tcBorders>
          </w:tcPr>
          <w:p>
            <w:pPr>
              <w:rPr>
                <w:rFonts w:ascii="Times New Roman" w:hAnsi="Times New Roman"/>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9</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工程力学</w:t>
            </w:r>
          </w:p>
        </w:tc>
        <w:tc>
          <w:tcPr>
            <w:tcW w:w="4514" w:type="dxa"/>
            <w:gridSpan w:val="5"/>
            <w:vMerge w:val="continue"/>
            <w:tcBorders>
              <w:left w:val="single" w:color="auto" w:sz="4" w:space="0"/>
              <w:right w:val="single" w:color="auto" w:sz="4" w:space="0"/>
            </w:tcBorders>
            <w:vAlign w:val="center"/>
          </w:tcPr>
          <w:p>
            <w:pPr>
              <w:rPr>
                <w:rFonts w:ascii="Times New Roman" w:hAnsi="Times New Roman"/>
                <w:bCs/>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10</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sz w:val="18"/>
                <w:szCs w:val="18"/>
              </w:rPr>
              <w:t>矿井测量</w:t>
            </w:r>
          </w:p>
        </w:tc>
        <w:tc>
          <w:tcPr>
            <w:tcW w:w="4514" w:type="dxa"/>
            <w:gridSpan w:val="5"/>
            <w:vMerge w:val="continue"/>
            <w:tcBorders>
              <w:left w:val="single" w:color="auto" w:sz="4" w:space="0"/>
              <w:right w:val="single" w:color="auto" w:sz="4" w:space="0"/>
            </w:tcBorders>
            <w:vAlign w:val="center"/>
          </w:tcPr>
          <w:p>
            <w:pPr>
              <w:rPr>
                <w:rFonts w:ascii="Times New Roman" w:hAnsi="Times New Roman"/>
                <w:bCs/>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11</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机械设计基础</w:t>
            </w:r>
          </w:p>
        </w:tc>
        <w:tc>
          <w:tcPr>
            <w:tcW w:w="4514" w:type="dxa"/>
            <w:gridSpan w:val="5"/>
            <w:vMerge w:val="continue"/>
            <w:tcBorders>
              <w:left w:val="single" w:color="auto" w:sz="4" w:space="0"/>
              <w:right w:val="single" w:color="auto" w:sz="4" w:space="0"/>
            </w:tcBorders>
            <w:vAlign w:val="center"/>
          </w:tcPr>
          <w:p>
            <w:pPr>
              <w:rPr>
                <w:rFonts w:ascii="Times New Roman" w:hAnsi="Times New Roman"/>
                <w:bCs/>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12</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sz w:val="18"/>
                <w:szCs w:val="18"/>
              </w:rPr>
              <w:t>矿图识读与CAD应用</w:t>
            </w:r>
          </w:p>
        </w:tc>
        <w:tc>
          <w:tcPr>
            <w:tcW w:w="4514" w:type="dxa"/>
            <w:gridSpan w:val="5"/>
            <w:vMerge w:val="continue"/>
            <w:tcBorders>
              <w:left w:val="single" w:color="auto" w:sz="4" w:space="0"/>
              <w:right w:val="single" w:color="auto" w:sz="4" w:space="0"/>
            </w:tcBorders>
            <w:vAlign w:val="center"/>
          </w:tcPr>
          <w:p>
            <w:pPr>
              <w:rPr>
                <w:rFonts w:ascii="Times New Roman" w:hAnsi="Times New Roman"/>
                <w:bCs/>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13</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sz w:val="18"/>
                <w:szCs w:val="18"/>
              </w:rPr>
              <w:t>矿山环境保护</w:t>
            </w:r>
          </w:p>
        </w:tc>
        <w:tc>
          <w:tcPr>
            <w:tcW w:w="4514" w:type="dxa"/>
            <w:gridSpan w:val="5"/>
            <w:vMerge w:val="continue"/>
            <w:tcBorders>
              <w:left w:val="single" w:color="auto" w:sz="4" w:space="0"/>
              <w:right w:val="single" w:color="auto" w:sz="4" w:space="0"/>
            </w:tcBorders>
            <w:vAlign w:val="center"/>
          </w:tcPr>
          <w:p>
            <w:pPr>
              <w:rPr>
                <w:rFonts w:ascii="Times New Roman" w:hAnsi="Times New Roman"/>
                <w:bCs/>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14</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中国传统文化概观</w:t>
            </w:r>
          </w:p>
        </w:tc>
        <w:tc>
          <w:tcPr>
            <w:tcW w:w="4514" w:type="dxa"/>
            <w:gridSpan w:val="5"/>
            <w:vMerge w:val="continue"/>
            <w:tcBorders>
              <w:left w:val="single" w:color="auto" w:sz="4" w:space="0"/>
              <w:right w:val="single" w:color="auto" w:sz="4" w:space="0"/>
            </w:tcBorders>
            <w:vAlign w:val="center"/>
          </w:tcPr>
          <w:p>
            <w:pPr>
              <w:rPr>
                <w:rFonts w:ascii="Times New Roman" w:hAnsi="Times New Roman"/>
                <w:bCs/>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hint="eastAsia"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15</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Segoe UI Symbol" w:hAnsi="Segoe UI Symbol" w:cs="Segoe UI Symbol"/>
                <w:kern w:val="0"/>
                <w:sz w:val="18"/>
                <w:szCs w:val="18"/>
              </w:rPr>
            </w:pPr>
            <w:r>
              <w:rPr>
                <w:rFonts w:ascii="Segoe UI Symbol" w:hAnsi="Segoe UI Symbol" w:cs="Segoe UI Symbol"/>
                <w:kern w:val="0"/>
                <w:sz w:val="18"/>
                <w:szCs w:val="18"/>
              </w:rPr>
              <w:t>“</w:t>
            </w:r>
            <w:r>
              <w:rPr>
                <w:rFonts w:hint="eastAsia" w:ascii="Segoe UI Symbol" w:hAnsi="Segoe UI Symbol" w:cs="Segoe UI Symbol"/>
                <w:kern w:val="0"/>
                <w:sz w:val="18"/>
                <w:szCs w:val="18"/>
              </w:rPr>
              <w:t>三法</w:t>
            </w:r>
            <w:r>
              <w:rPr>
                <w:rFonts w:ascii="Segoe UI Symbol" w:hAnsi="Segoe UI Symbol" w:cs="Segoe UI Symbol"/>
                <w:kern w:val="0"/>
                <w:sz w:val="18"/>
                <w:szCs w:val="18"/>
              </w:rPr>
              <w:t>”</w:t>
            </w:r>
            <w:r>
              <w:rPr>
                <w:rFonts w:hint="eastAsia" w:ascii="Segoe UI Symbol" w:hAnsi="Segoe UI Symbol" w:cs="Segoe UI Symbol"/>
                <w:kern w:val="0"/>
                <w:sz w:val="18"/>
                <w:szCs w:val="18"/>
              </w:rPr>
              <w:t>基础与实务</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5秋</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5</w:t>
            </w:r>
            <w:r>
              <w:rPr>
                <w:rFonts w:ascii="Times New Roman" w:hAnsi="Times New Roman"/>
                <w:szCs w:val="21"/>
              </w:rPr>
              <w:t>冬</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w:t>
            </w:r>
            <w:r>
              <w:rPr>
                <w:rFonts w:hint="eastAsia" w:ascii="Times New Roman" w:hAnsi="Times New Roman"/>
                <w:szCs w:val="21"/>
              </w:rPr>
              <w:t>5</w:t>
            </w:r>
            <w:r>
              <w:rPr>
                <w:rFonts w:ascii="Times New Roman" w:hAnsi="Times New Roman"/>
                <w:szCs w:val="21"/>
              </w:rPr>
              <w:t>秋</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hint="eastAsia"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Segoe UI Symbol" w:hAnsi="Segoe UI Symbol" w:cs="Segoe UI Symbol"/>
                <w:kern w:val="0"/>
                <w:sz w:val="18"/>
                <w:szCs w:val="18"/>
              </w:rPr>
              <w:t>★</w:t>
            </w:r>
            <w:r>
              <w:rPr>
                <w:rFonts w:ascii="Times New Roman" w:hAnsi="Times New Roman"/>
                <w:kern w:val="0"/>
                <w:sz w:val="18"/>
                <w:szCs w:val="18"/>
              </w:rPr>
              <w:t>井巷工程（专）</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16春</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16夏</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16春</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17</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Segoe UI Symbol" w:hAnsi="Segoe UI Symbol" w:cs="Segoe UI Symbol"/>
                <w:kern w:val="0"/>
                <w:sz w:val="18"/>
                <w:szCs w:val="18"/>
              </w:rPr>
              <w:t>★</w:t>
            </w:r>
            <w:r>
              <w:rPr>
                <w:rFonts w:ascii="Times New Roman" w:hAnsi="Times New Roman"/>
                <w:kern w:val="0"/>
                <w:sz w:val="18"/>
                <w:szCs w:val="18"/>
              </w:rPr>
              <w:t>煤矿开采（专）</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16春</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16夏</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16春</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18</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Times New Roman" w:hAnsi="Times New Roman"/>
                <w:kern w:val="0"/>
                <w:sz w:val="18"/>
                <w:szCs w:val="18"/>
              </w:rPr>
              <w:t>煤矿电工学（专）</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16春</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16夏</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16春</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19</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Segoe UI Symbol" w:hAnsi="Segoe UI Symbol" w:cs="Segoe UI Symbol"/>
                <w:kern w:val="0"/>
                <w:sz w:val="18"/>
                <w:szCs w:val="18"/>
              </w:rPr>
              <w:t>★</w:t>
            </w:r>
            <w:r>
              <w:rPr>
                <w:rFonts w:ascii="Times New Roman" w:hAnsi="Times New Roman"/>
                <w:kern w:val="0"/>
                <w:sz w:val="18"/>
                <w:szCs w:val="18"/>
              </w:rPr>
              <w:t>矿山压力及岩层控制（专）</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16春</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16夏</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16春</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20</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Segoe UI Symbol" w:hAnsi="Segoe UI Symbol" w:cs="Segoe UI Symbol"/>
                <w:kern w:val="0"/>
                <w:sz w:val="18"/>
                <w:szCs w:val="18"/>
              </w:rPr>
            </w:pPr>
            <w:r>
              <w:rPr>
                <w:rFonts w:ascii="Segoe UI Symbol" w:hAnsi="Segoe UI Symbol" w:cs="Segoe UI Symbol"/>
                <w:kern w:val="0"/>
                <w:sz w:val="18"/>
                <w:szCs w:val="18"/>
              </w:rPr>
              <w:t>煤炭开采史</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16春</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16夏</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16春</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21</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Times New Roman" w:hAnsi="Times New Roman"/>
                <w:kern w:val="0"/>
                <w:sz w:val="18"/>
                <w:szCs w:val="18"/>
              </w:rPr>
              <w:t>采掘机械（专）</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16秋</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16冬</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16秋</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22</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kern w:val="0"/>
                <w:sz w:val="18"/>
                <w:szCs w:val="18"/>
              </w:rPr>
            </w:pPr>
            <w:r>
              <w:rPr>
                <w:rFonts w:ascii="Times New Roman" w:hAnsi="Times New Roman"/>
                <w:kern w:val="0"/>
                <w:sz w:val="18"/>
                <w:szCs w:val="18"/>
              </w:rPr>
              <w:t>矿井运输提升（专）</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16秋</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16冬</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16秋</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23</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《煤矿安全规程》解读</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16秋</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16冬</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16秋</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24</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煤矿开采前沿讲座</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16秋</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16冬</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16秋</w:t>
            </w:r>
          </w:p>
        </w:tc>
        <w:tc>
          <w:tcPr>
            <w:tcW w:w="73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25</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矿井通风与安全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16秋</w:t>
            </w:r>
          </w:p>
        </w:tc>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16冬</w:t>
            </w:r>
          </w:p>
        </w:tc>
        <w:tc>
          <w:tcPr>
            <w:tcW w:w="99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9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p>
        </w:tc>
        <w:tc>
          <w:tcPr>
            <w:tcW w:w="98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16秋</w:t>
            </w:r>
          </w:p>
        </w:tc>
        <w:tc>
          <w:tcPr>
            <w:tcW w:w="73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26</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kern w:val="0"/>
                <w:sz w:val="18"/>
                <w:szCs w:val="18"/>
              </w:rPr>
            </w:pPr>
            <w:r>
              <w:rPr>
                <w:rFonts w:ascii="Segoe UI Symbol" w:hAnsi="Segoe UI Symbol" w:cs="Segoe UI Symbol"/>
                <w:kern w:val="0"/>
                <w:sz w:val="18"/>
                <w:szCs w:val="18"/>
              </w:rPr>
              <w:t>★</w:t>
            </w:r>
            <w:r>
              <w:rPr>
                <w:rFonts w:ascii="Times New Roman" w:hAnsi="Times New Roman"/>
                <w:sz w:val="18"/>
                <w:szCs w:val="18"/>
              </w:rPr>
              <w:t>地质实习（专）</w:t>
            </w:r>
          </w:p>
        </w:tc>
        <w:tc>
          <w:tcPr>
            <w:tcW w:w="4514" w:type="dxa"/>
            <w:gridSpan w:val="5"/>
            <w:tcBorders>
              <w:top w:val="single" w:color="auto" w:sz="4" w:space="0"/>
              <w:left w:val="single" w:color="auto" w:sz="4" w:space="0"/>
              <w:right w:val="single" w:color="auto" w:sz="4" w:space="0"/>
            </w:tcBorders>
            <w:vAlign w:val="center"/>
          </w:tcPr>
          <w:p>
            <w:pPr>
              <w:rPr>
                <w:rFonts w:ascii="Times New Roman" w:hAnsi="Times New Roman"/>
                <w:szCs w:val="21"/>
              </w:rPr>
            </w:pPr>
            <w:r>
              <w:rPr>
                <w:rFonts w:ascii="Times New Roman" w:hAnsi="Times New Roman"/>
                <w:szCs w:val="21"/>
              </w:rPr>
              <w:t>15年秋编制完成地质实习大纲</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27</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测量实习</w:t>
            </w:r>
          </w:p>
        </w:tc>
        <w:tc>
          <w:tcPr>
            <w:tcW w:w="4514" w:type="dxa"/>
            <w:gridSpan w:val="5"/>
            <w:tcBorders>
              <w:left w:val="single" w:color="auto" w:sz="4" w:space="0"/>
              <w:bottom w:val="single" w:color="auto" w:sz="4" w:space="0"/>
              <w:right w:val="single" w:color="auto" w:sz="4" w:space="0"/>
            </w:tcBorders>
            <w:vAlign w:val="center"/>
          </w:tcPr>
          <w:p>
            <w:pPr>
              <w:rPr>
                <w:rFonts w:ascii="Times New Roman" w:hAnsi="Times New Roman"/>
                <w:szCs w:val="21"/>
              </w:rPr>
            </w:pPr>
            <w:r>
              <w:rPr>
                <w:rFonts w:ascii="Times New Roman" w:hAnsi="Times New Roman"/>
                <w:szCs w:val="21"/>
              </w:rPr>
              <w:t>15年冬编制完成测量实习大纲</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28</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井巷工程课程设计（专）</w:t>
            </w:r>
          </w:p>
        </w:tc>
        <w:tc>
          <w:tcPr>
            <w:tcW w:w="451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ascii="Times New Roman" w:hAnsi="Times New Roman"/>
                <w:szCs w:val="21"/>
              </w:rPr>
              <w:t>16年夏编制完成井巷工程课程设计大纲</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29</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Segoe UI Symbol" w:hAnsi="Segoe UI Symbol" w:cs="Segoe UI Symbol"/>
                <w:kern w:val="0"/>
                <w:sz w:val="18"/>
                <w:szCs w:val="18"/>
              </w:rPr>
              <w:t>★</w:t>
            </w:r>
            <w:r>
              <w:rPr>
                <w:rFonts w:ascii="Times New Roman" w:hAnsi="Times New Roman"/>
                <w:kern w:val="0"/>
                <w:sz w:val="18"/>
                <w:szCs w:val="18"/>
              </w:rPr>
              <w:t>矿图实训（专）</w:t>
            </w:r>
          </w:p>
        </w:tc>
        <w:tc>
          <w:tcPr>
            <w:tcW w:w="451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ascii="Times New Roman" w:hAnsi="Times New Roman"/>
                <w:szCs w:val="21"/>
              </w:rPr>
              <w:t>16年夏编制完成矿图实训大纲</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30</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矿井通风与安全课程设计</w:t>
            </w:r>
          </w:p>
        </w:tc>
        <w:tc>
          <w:tcPr>
            <w:tcW w:w="451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ascii="Times New Roman" w:hAnsi="Times New Roman"/>
                <w:szCs w:val="21"/>
              </w:rPr>
              <w:t>16年冬编制完矿井通风与安全课程设计大纲</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exact"/>
          <w:jc w:val="center"/>
        </w:trPr>
        <w:tc>
          <w:tcPr>
            <w:tcW w:w="5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31</w:t>
            </w:r>
          </w:p>
        </w:tc>
        <w:tc>
          <w:tcPr>
            <w:tcW w:w="258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实训实习与毕业设计</w:t>
            </w:r>
          </w:p>
        </w:tc>
        <w:tc>
          <w:tcPr>
            <w:tcW w:w="451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ascii="Times New Roman" w:hAnsi="Times New Roman"/>
                <w:szCs w:val="21"/>
              </w:rPr>
              <w:t>17年夏编制完成实训实习与毕业设计大纲</w:t>
            </w:r>
          </w:p>
        </w:tc>
        <w:tc>
          <w:tcPr>
            <w:tcW w:w="73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szCs w:val="21"/>
              </w:rPr>
              <w:t>5</w:t>
            </w:r>
          </w:p>
        </w:tc>
      </w:tr>
    </w:tbl>
    <w:p>
      <w:pPr>
        <w:widowControl/>
        <w:ind w:firstLine="345"/>
        <w:jc w:val="left"/>
        <w:rPr>
          <w:rFonts w:ascii="Times New Roman" w:hAnsi="Times New Roman"/>
          <w:bCs/>
          <w:sz w:val="18"/>
          <w:szCs w:val="18"/>
        </w:rPr>
      </w:pPr>
    </w:p>
    <w:p>
      <w:pPr>
        <w:widowControl/>
        <w:ind w:firstLine="345"/>
        <w:jc w:val="left"/>
        <w:rPr>
          <w:rFonts w:ascii="Times New Roman" w:hAnsi="Times New Roman"/>
          <w:bCs/>
          <w:sz w:val="18"/>
          <w:szCs w:val="18"/>
        </w:rPr>
      </w:pPr>
      <w:r>
        <w:rPr>
          <w:rFonts w:ascii="Times New Roman" w:hAnsi="Times New Roman"/>
          <w:bCs/>
          <w:sz w:val="18"/>
          <w:szCs w:val="18"/>
        </w:rPr>
        <w:t>说明：</w:t>
      </w:r>
    </w:p>
    <w:p>
      <w:pPr>
        <w:widowControl/>
        <w:ind w:firstLine="345"/>
        <w:jc w:val="left"/>
        <w:rPr>
          <w:rFonts w:ascii="Times New Roman" w:hAnsi="Times New Roman"/>
          <w:kern w:val="0"/>
          <w:sz w:val="18"/>
          <w:szCs w:val="18"/>
        </w:rPr>
      </w:pPr>
      <w:r>
        <w:rPr>
          <w:rFonts w:ascii="Times New Roman" w:hAnsi="Times New Roman"/>
          <w:bCs/>
          <w:sz w:val="18"/>
          <w:szCs w:val="18"/>
        </w:rPr>
        <w:t>1）</w:t>
      </w:r>
      <w:r>
        <w:rPr>
          <w:rFonts w:ascii="Times New Roman" w:hAnsi="Times New Roman"/>
          <w:kern w:val="0"/>
          <w:sz w:val="18"/>
          <w:szCs w:val="18"/>
        </w:rPr>
        <w:t>IP课件是一种基于计算机网络的流媒体和超文本构成的教学课件，它图、文、声并茂，同时有老师讲课图像和声音播放。学员可登录到学校网站点播所需的课件。</w:t>
      </w:r>
    </w:p>
    <w:p>
      <w:pPr>
        <w:widowControl/>
        <w:ind w:firstLine="345"/>
        <w:jc w:val="left"/>
        <w:rPr>
          <w:rFonts w:ascii="Times New Roman" w:hAnsi="Times New Roman"/>
          <w:kern w:val="0"/>
          <w:sz w:val="18"/>
          <w:szCs w:val="18"/>
        </w:rPr>
      </w:pPr>
      <w:r>
        <w:rPr>
          <w:rFonts w:ascii="Times New Roman" w:hAnsi="Times New Roman"/>
          <w:kern w:val="0"/>
          <w:sz w:val="18"/>
          <w:szCs w:val="18"/>
        </w:rPr>
        <w:t>2）CAI全称Computing Aided Instruction（计算机辅助说明）。</w:t>
      </w:r>
    </w:p>
    <w:p>
      <w:pPr>
        <w:widowControl/>
        <w:ind w:firstLine="345"/>
        <w:jc w:val="left"/>
        <w:rPr>
          <w:rFonts w:ascii="Times New Roman" w:hAnsi="Times New Roman"/>
          <w:bCs/>
          <w:szCs w:val="21"/>
        </w:rPr>
      </w:pPr>
    </w:p>
    <w:p>
      <w:pPr>
        <w:pStyle w:val="16"/>
        <w:spacing w:line="320" w:lineRule="exact"/>
        <w:ind w:firstLine="600"/>
        <w:rPr>
          <w:rFonts w:ascii="Times New Roman" w:hAnsi="Times New Roman" w:cs="Times New Roman"/>
          <w:bCs/>
          <w:sz w:val="24"/>
          <w:szCs w:val="24"/>
        </w:rPr>
      </w:pPr>
      <w:r>
        <w:rPr>
          <w:rFonts w:ascii="Times New Roman" w:hAnsi="Times New Roman" w:eastAsia="仿宋_GB2312" w:cs="Times New Roman"/>
          <w:sz w:val="30"/>
          <w:szCs w:val="30"/>
        </w:rPr>
        <w:t>5、2015年秋（第一学期）教学资源到位情况</w:t>
      </w:r>
    </w:p>
    <w:p>
      <w:pPr>
        <w:pStyle w:val="16"/>
        <w:spacing w:line="320" w:lineRule="exact"/>
        <w:ind w:firstLine="422"/>
        <w:rPr>
          <w:rFonts w:ascii="Times New Roman" w:hAnsi="Times New Roman" w:cs="Times New Roman"/>
          <w:b/>
          <w:bCs/>
          <w:sz w:val="21"/>
          <w:szCs w:val="21"/>
        </w:rPr>
      </w:pPr>
      <w:r>
        <w:rPr>
          <w:rFonts w:ascii="Times New Roman" w:hAnsi="Times New Roman" w:cs="Times New Roman"/>
          <w:b/>
          <w:bCs/>
          <w:sz w:val="21"/>
          <w:szCs w:val="21"/>
        </w:rPr>
        <w:t>表二</w:t>
      </w:r>
    </w:p>
    <w:tbl>
      <w:tblPr>
        <w:tblStyle w:val="21"/>
        <w:tblW w:w="8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743"/>
        <w:gridCol w:w="567"/>
        <w:gridCol w:w="567"/>
        <w:gridCol w:w="1084"/>
        <w:gridCol w:w="856"/>
        <w:gridCol w:w="845"/>
        <w:gridCol w:w="1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序号</w:t>
            </w:r>
          </w:p>
        </w:tc>
        <w:tc>
          <w:tcPr>
            <w:tcW w:w="2743"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napToGrid w:val="0"/>
                <w:szCs w:val="21"/>
              </w:rPr>
              <w:t>课程名称</w:t>
            </w:r>
          </w:p>
        </w:tc>
        <w:tc>
          <w:tcPr>
            <w:tcW w:w="567"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课程</w:t>
            </w:r>
          </w:p>
          <w:p>
            <w:pPr>
              <w:jc w:val="center"/>
              <w:rPr>
                <w:rFonts w:ascii="Times New Roman" w:hAnsi="Times New Roman"/>
                <w:b/>
                <w:szCs w:val="21"/>
              </w:rPr>
            </w:pPr>
            <w:r>
              <w:rPr>
                <w:rFonts w:ascii="Times New Roman" w:hAnsi="Times New Roman"/>
                <w:b/>
                <w:szCs w:val="21"/>
              </w:rPr>
              <w:t>性质</w:t>
            </w:r>
          </w:p>
        </w:tc>
        <w:tc>
          <w:tcPr>
            <w:tcW w:w="567"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开设</w:t>
            </w:r>
          </w:p>
          <w:p>
            <w:pPr>
              <w:jc w:val="center"/>
              <w:rPr>
                <w:rFonts w:ascii="Times New Roman" w:hAnsi="Times New Roman"/>
                <w:b/>
                <w:szCs w:val="21"/>
              </w:rPr>
            </w:pPr>
            <w:r>
              <w:rPr>
                <w:rFonts w:ascii="Times New Roman" w:hAnsi="Times New Roman"/>
                <w:b/>
                <w:szCs w:val="21"/>
              </w:rPr>
              <w:t>学期</w:t>
            </w:r>
          </w:p>
        </w:tc>
        <w:tc>
          <w:tcPr>
            <w:tcW w:w="1084"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电子文稿及PPT</w:t>
            </w:r>
          </w:p>
        </w:tc>
        <w:tc>
          <w:tcPr>
            <w:tcW w:w="856"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录像</w:t>
            </w:r>
          </w:p>
        </w:tc>
        <w:tc>
          <w:tcPr>
            <w:tcW w:w="845"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教材</w:t>
            </w:r>
          </w:p>
        </w:tc>
        <w:tc>
          <w:tcPr>
            <w:tcW w:w="1503"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中国特色社会主义理论体系概论</w:t>
            </w:r>
          </w:p>
        </w:tc>
        <w:tc>
          <w:tcPr>
            <w:tcW w:w="567"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kern w:val="0"/>
                <w:sz w:val="18"/>
                <w:szCs w:val="18"/>
              </w:rPr>
            </w:pPr>
            <w:r>
              <w:rPr>
                <w:rFonts w:ascii="Times New Roman" w:hAnsi="Times New Roman"/>
                <w:kern w:val="0"/>
                <w:sz w:val="18"/>
                <w:szCs w:val="18"/>
              </w:rPr>
              <w:t>统设必修及选修</w:t>
            </w: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785" w:type="dxa"/>
            <w:gridSpan w:val="3"/>
            <w:vMerge w:val="restart"/>
            <w:tcBorders>
              <w:top w:val="single" w:color="auto" w:sz="4" w:space="0"/>
              <w:left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国家开放大学现有资源</w:t>
            </w:r>
          </w:p>
        </w:tc>
        <w:tc>
          <w:tcPr>
            <w:tcW w:w="1503" w:type="dxa"/>
            <w:vMerge w:val="restart"/>
            <w:tcBorders>
              <w:top w:val="single" w:color="auto" w:sz="4" w:space="0"/>
              <w:left w:val="single" w:color="auto" w:sz="4" w:space="0"/>
              <w:right w:val="single" w:color="auto" w:sz="4" w:space="0"/>
            </w:tcBorders>
            <w:vAlign w:val="center"/>
          </w:tcPr>
          <w:p>
            <w:pPr>
              <w:rPr>
                <w:rFonts w:ascii="Times New Roman" w:hAnsi="Times New Roman"/>
                <w:kern w:val="0"/>
                <w:sz w:val="18"/>
                <w:szCs w:val="18"/>
              </w:rPr>
            </w:pPr>
            <w:r>
              <w:rPr>
                <w:rFonts w:ascii="Times New Roman" w:hAnsi="Times New Roman"/>
                <w:kern w:val="0"/>
                <w:sz w:val="18"/>
                <w:szCs w:val="18"/>
              </w:rPr>
              <w:t>选聘优秀教师担任课程责任教师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国家开放大学学习指南</w:t>
            </w:r>
          </w:p>
        </w:tc>
        <w:tc>
          <w:tcPr>
            <w:tcW w:w="567" w:type="dxa"/>
            <w:vMerge w:val="continue"/>
            <w:tcBorders>
              <w:left w:val="single" w:color="auto" w:sz="4" w:space="0"/>
              <w:right w:val="single" w:color="auto" w:sz="4" w:space="0"/>
            </w:tcBorders>
            <w:vAlign w:val="center"/>
          </w:tcPr>
          <w:p>
            <w:pPr>
              <w:rPr>
                <w:rFonts w:ascii="Times New Roman" w:hAnsi="Times New Roman"/>
                <w:kern w:val="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785" w:type="dxa"/>
            <w:gridSpan w:val="3"/>
            <w:vMerge w:val="continue"/>
            <w:tcBorders>
              <w:left w:val="single" w:color="auto" w:sz="4" w:space="0"/>
              <w:right w:val="single" w:color="auto" w:sz="4" w:space="0"/>
            </w:tcBorders>
            <w:vAlign w:val="center"/>
          </w:tcPr>
          <w:p>
            <w:pPr>
              <w:jc w:val="center"/>
              <w:rPr>
                <w:rFonts w:ascii="Times New Roman" w:hAnsi="Times New Roman"/>
                <w:kern w:val="0"/>
                <w:sz w:val="18"/>
                <w:szCs w:val="18"/>
              </w:rPr>
            </w:pPr>
          </w:p>
        </w:tc>
        <w:tc>
          <w:tcPr>
            <w:tcW w:w="1503" w:type="dxa"/>
            <w:vMerge w:val="continue"/>
            <w:tcBorders>
              <w:left w:val="single" w:color="auto" w:sz="4" w:space="0"/>
              <w:right w:val="single" w:color="auto" w:sz="4" w:space="0"/>
            </w:tcBorders>
            <w:vAlign w:val="center"/>
          </w:tcPr>
          <w:p>
            <w:pP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3</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计算机应用基础</w:t>
            </w:r>
          </w:p>
        </w:tc>
        <w:tc>
          <w:tcPr>
            <w:tcW w:w="567" w:type="dxa"/>
            <w:vMerge w:val="continue"/>
            <w:tcBorders>
              <w:left w:val="single" w:color="auto" w:sz="4" w:space="0"/>
              <w:right w:val="single" w:color="auto" w:sz="4" w:space="0"/>
            </w:tcBorders>
            <w:vAlign w:val="center"/>
          </w:tcPr>
          <w:p>
            <w:pPr>
              <w:rPr>
                <w:rFonts w:ascii="Times New Roman" w:hAnsi="Times New Roman"/>
                <w:kern w:val="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785" w:type="dxa"/>
            <w:gridSpan w:val="3"/>
            <w:vMerge w:val="continue"/>
            <w:tcBorders>
              <w:left w:val="single" w:color="auto" w:sz="4" w:space="0"/>
              <w:right w:val="single" w:color="auto" w:sz="4" w:space="0"/>
            </w:tcBorders>
            <w:vAlign w:val="center"/>
          </w:tcPr>
          <w:p>
            <w:pPr>
              <w:jc w:val="center"/>
              <w:rPr>
                <w:rFonts w:ascii="Times New Roman" w:hAnsi="Times New Roman"/>
                <w:kern w:val="0"/>
                <w:sz w:val="18"/>
                <w:szCs w:val="18"/>
              </w:rPr>
            </w:pPr>
          </w:p>
        </w:tc>
        <w:tc>
          <w:tcPr>
            <w:tcW w:w="1503" w:type="dxa"/>
            <w:vMerge w:val="continue"/>
            <w:tcBorders>
              <w:left w:val="single" w:color="auto" w:sz="4" w:space="0"/>
              <w:right w:val="single" w:color="auto" w:sz="4" w:space="0"/>
            </w:tcBorders>
            <w:vAlign w:val="center"/>
          </w:tcPr>
          <w:p>
            <w:pP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高等数学基础</w:t>
            </w:r>
          </w:p>
        </w:tc>
        <w:tc>
          <w:tcPr>
            <w:tcW w:w="567" w:type="dxa"/>
            <w:vMerge w:val="continue"/>
            <w:tcBorders>
              <w:left w:val="single" w:color="auto" w:sz="4" w:space="0"/>
              <w:right w:val="single" w:color="auto" w:sz="4" w:space="0"/>
            </w:tcBorders>
            <w:vAlign w:val="center"/>
          </w:tcPr>
          <w:p>
            <w:pPr>
              <w:rPr>
                <w:rFonts w:ascii="Times New Roman" w:hAnsi="Times New Roman"/>
                <w:kern w:val="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785" w:type="dxa"/>
            <w:gridSpan w:val="3"/>
            <w:vMerge w:val="continue"/>
            <w:tcBorders>
              <w:left w:val="single" w:color="auto" w:sz="4" w:space="0"/>
              <w:right w:val="single" w:color="auto" w:sz="4" w:space="0"/>
            </w:tcBorders>
            <w:vAlign w:val="center"/>
          </w:tcPr>
          <w:p>
            <w:pPr>
              <w:jc w:val="center"/>
              <w:rPr>
                <w:rFonts w:ascii="Times New Roman" w:hAnsi="Times New Roman"/>
                <w:kern w:val="0"/>
                <w:sz w:val="18"/>
                <w:szCs w:val="18"/>
              </w:rPr>
            </w:pPr>
          </w:p>
        </w:tc>
        <w:tc>
          <w:tcPr>
            <w:tcW w:w="1503" w:type="dxa"/>
            <w:vMerge w:val="continue"/>
            <w:tcBorders>
              <w:left w:val="single" w:color="auto" w:sz="4" w:space="0"/>
              <w:right w:val="single" w:color="auto" w:sz="4" w:space="0"/>
            </w:tcBorders>
            <w:vAlign w:val="center"/>
          </w:tcPr>
          <w:p>
            <w:pP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5</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英语I（1）</w:t>
            </w:r>
          </w:p>
        </w:tc>
        <w:tc>
          <w:tcPr>
            <w:tcW w:w="567" w:type="dxa"/>
            <w:vMerge w:val="continue"/>
            <w:tcBorders>
              <w:left w:val="single" w:color="auto" w:sz="4" w:space="0"/>
              <w:right w:val="single" w:color="auto" w:sz="4" w:space="0"/>
            </w:tcBorders>
            <w:vAlign w:val="center"/>
          </w:tcPr>
          <w:p>
            <w:pPr>
              <w:widowControl/>
              <w:rPr>
                <w:rFonts w:ascii="Times New Roman" w:hAnsi="Times New Roman"/>
                <w:kern w:val="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785" w:type="dxa"/>
            <w:gridSpan w:val="3"/>
            <w:vMerge w:val="continue"/>
            <w:tcBorders>
              <w:left w:val="single" w:color="auto" w:sz="4" w:space="0"/>
              <w:right w:val="single" w:color="auto" w:sz="4" w:space="0"/>
            </w:tcBorders>
            <w:vAlign w:val="center"/>
          </w:tcPr>
          <w:p>
            <w:pPr>
              <w:jc w:val="center"/>
              <w:rPr>
                <w:rFonts w:ascii="Times New Roman" w:hAnsi="Times New Roman"/>
                <w:kern w:val="0"/>
                <w:sz w:val="18"/>
                <w:szCs w:val="18"/>
              </w:rPr>
            </w:pPr>
          </w:p>
        </w:tc>
        <w:tc>
          <w:tcPr>
            <w:tcW w:w="1503" w:type="dxa"/>
            <w:vMerge w:val="continue"/>
            <w:tcBorders>
              <w:left w:val="single" w:color="auto" w:sz="4" w:space="0"/>
              <w:right w:val="single" w:color="auto" w:sz="4" w:space="0"/>
            </w:tcBorders>
            <w:vAlign w:val="center"/>
          </w:tcPr>
          <w:p>
            <w:pPr>
              <w:widowControl/>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6</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机械制图</w:t>
            </w:r>
          </w:p>
        </w:tc>
        <w:tc>
          <w:tcPr>
            <w:tcW w:w="567" w:type="dxa"/>
            <w:vMerge w:val="continue"/>
            <w:tcBorders>
              <w:left w:val="single" w:color="auto" w:sz="4" w:space="0"/>
              <w:right w:val="single" w:color="auto" w:sz="4" w:space="0"/>
            </w:tcBorders>
            <w:vAlign w:val="center"/>
          </w:tcPr>
          <w:p>
            <w:pPr>
              <w:widowControl/>
              <w:rPr>
                <w:rFonts w:ascii="Times New Roman" w:hAnsi="Times New Roman"/>
                <w:kern w:val="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785" w:type="dxa"/>
            <w:gridSpan w:val="3"/>
            <w:vMerge w:val="continue"/>
            <w:tcBorders>
              <w:left w:val="single" w:color="auto" w:sz="4" w:space="0"/>
              <w:right w:val="single" w:color="auto" w:sz="4" w:space="0"/>
            </w:tcBorders>
            <w:vAlign w:val="center"/>
          </w:tcPr>
          <w:p>
            <w:pPr>
              <w:jc w:val="center"/>
              <w:rPr>
                <w:rFonts w:ascii="Times New Roman" w:hAnsi="Times New Roman"/>
                <w:kern w:val="0"/>
                <w:sz w:val="18"/>
                <w:szCs w:val="18"/>
              </w:rPr>
            </w:pPr>
          </w:p>
        </w:tc>
        <w:tc>
          <w:tcPr>
            <w:tcW w:w="1503" w:type="dxa"/>
            <w:vMerge w:val="continue"/>
            <w:tcBorders>
              <w:left w:val="single" w:color="auto" w:sz="4" w:space="0"/>
              <w:right w:val="single" w:color="auto" w:sz="4" w:space="0"/>
            </w:tcBorders>
            <w:vAlign w:val="center"/>
          </w:tcPr>
          <w:p>
            <w:pPr>
              <w:widowControl/>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7</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煤矿地质</w:t>
            </w:r>
          </w:p>
        </w:tc>
        <w:tc>
          <w:tcPr>
            <w:tcW w:w="567" w:type="dxa"/>
            <w:vMerge w:val="continue"/>
            <w:tcBorders>
              <w:left w:val="single" w:color="auto" w:sz="4" w:space="0"/>
              <w:right w:val="single" w:color="auto" w:sz="4" w:space="0"/>
            </w:tcBorders>
            <w:vAlign w:val="center"/>
          </w:tcPr>
          <w:p>
            <w:pPr>
              <w:widowControl/>
              <w:rPr>
                <w:rFonts w:ascii="Times New Roman" w:hAnsi="Times New Roman"/>
                <w:kern w:val="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785" w:type="dxa"/>
            <w:gridSpan w:val="3"/>
            <w:vMerge w:val="continue"/>
            <w:tcBorders>
              <w:left w:val="single" w:color="auto" w:sz="4" w:space="0"/>
              <w:right w:val="single" w:color="auto" w:sz="4" w:space="0"/>
            </w:tcBorders>
            <w:vAlign w:val="center"/>
          </w:tcPr>
          <w:p>
            <w:pPr>
              <w:jc w:val="center"/>
              <w:rPr>
                <w:rFonts w:ascii="Times New Roman" w:hAnsi="Times New Roman"/>
                <w:kern w:val="0"/>
                <w:sz w:val="18"/>
                <w:szCs w:val="18"/>
              </w:rPr>
            </w:pPr>
          </w:p>
        </w:tc>
        <w:tc>
          <w:tcPr>
            <w:tcW w:w="1503" w:type="dxa"/>
            <w:vMerge w:val="continue"/>
            <w:tcBorders>
              <w:left w:val="single" w:color="auto" w:sz="4" w:space="0"/>
              <w:right w:val="single" w:color="auto" w:sz="4" w:space="0"/>
            </w:tcBorders>
            <w:vAlign w:val="center"/>
          </w:tcPr>
          <w:p>
            <w:pPr>
              <w:widowControl/>
              <w:rPr>
                <w:rFonts w:ascii="Times New Roman" w:hAnsi="Times New Roman"/>
                <w:kern w:val="0"/>
                <w:sz w:val="18"/>
                <w:szCs w:val="18"/>
              </w:rPr>
            </w:pPr>
          </w:p>
        </w:tc>
      </w:tr>
    </w:tbl>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6、新开课程情况</w:t>
      </w:r>
    </w:p>
    <w:p>
      <w:pPr>
        <w:pStyle w:val="16"/>
        <w:spacing w:beforeLines="50" w:afterLines="50" w:line="300" w:lineRule="exact"/>
        <w:ind w:firstLine="422"/>
        <w:rPr>
          <w:rFonts w:ascii="Times New Roman" w:hAnsi="Times New Roman" w:cs="Times New Roman"/>
          <w:b/>
          <w:bCs/>
          <w:sz w:val="21"/>
          <w:szCs w:val="21"/>
        </w:rPr>
      </w:pPr>
      <w:r>
        <w:rPr>
          <w:rFonts w:ascii="Times New Roman" w:hAnsi="Times New Roman" w:cs="Times New Roman"/>
          <w:b/>
          <w:bCs/>
          <w:sz w:val="21"/>
          <w:szCs w:val="21"/>
        </w:rPr>
        <w:t>表三</w:t>
      </w:r>
    </w:p>
    <w:tbl>
      <w:tblPr>
        <w:tblStyle w:val="21"/>
        <w:tblW w:w="8934" w:type="dxa"/>
        <w:jc w:val="center"/>
        <w:tblLayout w:type="fixed"/>
        <w:tblCellMar>
          <w:top w:w="0" w:type="dxa"/>
          <w:left w:w="108" w:type="dxa"/>
          <w:bottom w:w="0" w:type="dxa"/>
          <w:right w:w="108" w:type="dxa"/>
        </w:tblCellMar>
      </w:tblPr>
      <w:tblGrid>
        <w:gridCol w:w="780"/>
        <w:gridCol w:w="2024"/>
        <w:gridCol w:w="851"/>
        <w:gridCol w:w="1134"/>
        <w:gridCol w:w="649"/>
        <w:gridCol w:w="1701"/>
        <w:gridCol w:w="768"/>
        <w:gridCol w:w="1027"/>
      </w:tblGrid>
      <w:tr>
        <w:tblPrEx>
          <w:tblCellMar>
            <w:top w:w="0" w:type="dxa"/>
            <w:left w:w="108" w:type="dxa"/>
            <w:bottom w:w="0" w:type="dxa"/>
            <w:right w:w="108" w:type="dxa"/>
          </w:tblCellMar>
        </w:tblPrEx>
        <w:trPr>
          <w:trHeight w:val="720"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b/>
                <w:bCs/>
                <w:kern w:val="0"/>
                <w:szCs w:val="21"/>
              </w:rPr>
              <w:t>序号</w:t>
            </w:r>
          </w:p>
        </w:tc>
        <w:tc>
          <w:tcPr>
            <w:tcW w:w="2024"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b/>
                <w:bCs/>
                <w:kern w:val="0"/>
                <w:szCs w:val="21"/>
              </w:rPr>
              <w:t>课程名称</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b/>
                <w:bCs/>
                <w:kern w:val="0"/>
                <w:szCs w:val="21"/>
              </w:rPr>
              <w:t>学分</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b/>
                <w:bCs/>
                <w:kern w:val="0"/>
                <w:szCs w:val="21"/>
              </w:rPr>
              <w:t>课程性质</w:t>
            </w:r>
          </w:p>
        </w:tc>
        <w:tc>
          <w:tcPr>
            <w:tcW w:w="649"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b/>
                <w:bCs/>
                <w:kern w:val="0"/>
                <w:szCs w:val="21"/>
              </w:rPr>
              <w:t>开设学期</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b/>
                <w:bCs/>
                <w:kern w:val="0"/>
                <w:szCs w:val="21"/>
              </w:rPr>
              <w:t>是否已开设类似课程</w:t>
            </w:r>
          </w:p>
        </w:tc>
        <w:tc>
          <w:tcPr>
            <w:tcW w:w="768"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b/>
                <w:bCs/>
                <w:kern w:val="0"/>
                <w:szCs w:val="21"/>
              </w:rPr>
              <w:t>资源情况</w:t>
            </w:r>
          </w:p>
        </w:tc>
        <w:tc>
          <w:tcPr>
            <w:tcW w:w="1027"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b/>
                <w:bCs/>
                <w:kern w:val="0"/>
                <w:szCs w:val="21"/>
              </w:rPr>
              <w:t>主持</w:t>
            </w:r>
          </w:p>
          <w:p>
            <w:pPr>
              <w:widowControl/>
              <w:jc w:val="center"/>
              <w:rPr>
                <w:rFonts w:ascii="Times New Roman" w:hAnsi="Times New Roman"/>
                <w:b/>
                <w:bCs/>
                <w:kern w:val="0"/>
                <w:szCs w:val="21"/>
              </w:rPr>
            </w:pPr>
            <w:r>
              <w:rPr>
                <w:rFonts w:ascii="Times New Roman" w:hAnsi="Times New Roman"/>
                <w:b/>
                <w:bCs/>
                <w:kern w:val="0"/>
                <w:szCs w:val="21"/>
              </w:rPr>
              <w:t>教师</w:t>
            </w:r>
          </w:p>
        </w:tc>
      </w:tr>
      <w:tr>
        <w:tblPrEx>
          <w:tblCellMar>
            <w:top w:w="0" w:type="dxa"/>
            <w:left w:w="108" w:type="dxa"/>
            <w:bottom w:w="0" w:type="dxa"/>
            <w:right w:w="108" w:type="dxa"/>
          </w:tblCellMar>
        </w:tblPrEx>
        <w:trPr>
          <w:trHeight w:val="720"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1</w:t>
            </w:r>
          </w:p>
        </w:tc>
        <w:tc>
          <w:tcPr>
            <w:tcW w:w="2024" w:type="dxa"/>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b/>
                <w:bCs/>
                <w:kern w:val="0"/>
                <w:szCs w:val="21"/>
              </w:rPr>
            </w:pPr>
            <w:r>
              <w:rPr>
                <w:rFonts w:ascii="Segoe UI Symbol" w:hAnsi="Segoe UI Symbol" w:cs="Segoe UI Symbol"/>
                <w:kern w:val="0"/>
                <w:sz w:val="18"/>
                <w:szCs w:val="18"/>
              </w:rPr>
              <w:t>“</w:t>
            </w:r>
            <w:r>
              <w:rPr>
                <w:rFonts w:hint="eastAsia" w:ascii="Segoe UI Symbol" w:hAnsi="Segoe UI Symbol" w:cs="Segoe UI Symbol"/>
                <w:kern w:val="0"/>
                <w:sz w:val="18"/>
                <w:szCs w:val="18"/>
              </w:rPr>
              <w:t>三法</w:t>
            </w:r>
            <w:r>
              <w:rPr>
                <w:rFonts w:ascii="Segoe UI Symbol" w:hAnsi="Segoe UI Symbol" w:cs="Segoe UI Symbol"/>
                <w:kern w:val="0"/>
                <w:sz w:val="18"/>
                <w:szCs w:val="18"/>
              </w:rPr>
              <w:t>”</w:t>
            </w:r>
            <w:r>
              <w:rPr>
                <w:rFonts w:hint="eastAsia" w:ascii="Segoe UI Symbol" w:hAnsi="Segoe UI Symbol" w:cs="Segoe UI Symbol"/>
                <w:kern w:val="0"/>
                <w:sz w:val="18"/>
                <w:szCs w:val="18"/>
              </w:rPr>
              <w:t>基础与实务</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kern w:val="0"/>
                <w:sz w:val="18"/>
                <w:szCs w:val="18"/>
              </w:rPr>
              <w:t>2</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kern w:val="0"/>
                <w:sz w:val="18"/>
                <w:szCs w:val="18"/>
              </w:rPr>
              <w:t>非统设选修</w:t>
            </w:r>
          </w:p>
        </w:tc>
        <w:tc>
          <w:tcPr>
            <w:tcW w:w="649"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b/>
                <w:bCs/>
                <w:kern w:val="0"/>
                <w:szCs w:val="21"/>
              </w:rPr>
            </w:pPr>
            <w:r>
              <w:rPr>
                <w:rFonts w:ascii="Times New Roman" w:hAnsi="Times New Roman"/>
                <w:kern w:val="0"/>
                <w:sz w:val="18"/>
                <w:szCs w:val="18"/>
              </w:rPr>
              <w:t>2</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restart"/>
            <w:tcBorders>
              <w:top w:val="single" w:color="auto" w:sz="4" w:space="0"/>
              <w:left w:val="nil"/>
              <w:right w:val="single" w:color="auto" w:sz="4" w:space="0"/>
            </w:tcBorders>
            <w:vAlign w:val="center"/>
          </w:tcPr>
          <w:p>
            <w:pPr>
              <w:jc w:val="center"/>
              <w:rPr>
                <w:rFonts w:ascii="Times New Roman" w:hAnsi="Times New Roman"/>
                <w:kern w:val="0"/>
                <w:sz w:val="18"/>
                <w:szCs w:val="18"/>
              </w:rPr>
            </w:pPr>
            <w:r>
              <w:rPr>
                <w:rFonts w:hint="eastAsia" w:ascii="Times New Roman" w:hAnsi="Times New Roman"/>
                <w:kern w:val="0"/>
                <w:sz w:val="18"/>
                <w:szCs w:val="18"/>
              </w:rPr>
              <w:t>武龙飞</w:t>
            </w: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2</w:t>
            </w:r>
          </w:p>
        </w:tc>
        <w:tc>
          <w:tcPr>
            <w:tcW w:w="2024" w:type="dxa"/>
            <w:tcBorders>
              <w:top w:val="nil"/>
              <w:left w:val="nil"/>
              <w:bottom w:val="single" w:color="auto" w:sz="4" w:space="0"/>
              <w:right w:val="single" w:color="auto" w:sz="4" w:space="0"/>
            </w:tcBorders>
            <w:vAlign w:val="center"/>
          </w:tcPr>
          <w:p>
            <w:pPr>
              <w:widowControl/>
              <w:jc w:val="left"/>
              <w:textAlignment w:val="bottom"/>
              <w:rPr>
                <w:rFonts w:ascii="Times New Roman" w:hAnsi="Times New Roman"/>
                <w:kern w:val="0"/>
                <w:sz w:val="18"/>
                <w:szCs w:val="18"/>
              </w:rPr>
            </w:pPr>
            <w:r>
              <w:rPr>
                <w:rFonts w:ascii="Segoe UI Symbol" w:hAnsi="Segoe UI Symbol" w:cs="Segoe UI Symbol"/>
                <w:kern w:val="0"/>
                <w:sz w:val="18"/>
                <w:szCs w:val="18"/>
              </w:rPr>
              <w:t>★</w:t>
            </w:r>
            <w:r>
              <w:rPr>
                <w:rFonts w:ascii="Times New Roman" w:hAnsi="Times New Roman"/>
                <w:kern w:val="0"/>
                <w:sz w:val="18"/>
                <w:szCs w:val="18"/>
              </w:rPr>
              <w:t>井巷工程（专）</w:t>
            </w:r>
          </w:p>
        </w:tc>
        <w:tc>
          <w:tcPr>
            <w:tcW w:w="851" w:type="dxa"/>
            <w:tcBorders>
              <w:top w:val="nil"/>
              <w:left w:val="nil"/>
              <w:bottom w:val="single" w:color="auto" w:sz="4" w:space="0"/>
              <w:right w:val="single" w:color="auto"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3</w:t>
            </w:r>
          </w:p>
        </w:tc>
        <w:tc>
          <w:tcPr>
            <w:tcW w:w="1134"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统设必修</w:t>
            </w:r>
          </w:p>
        </w:tc>
        <w:tc>
          <w:tcPr>
            <w:tcW w:w="649" w:type="dxa"/>
            <w:tcBorders>
              <w:top w:val="nil"/>
              <w:left w:val="nil"/>
              <w:bottom w:val="single" w:color="auto" w:sz="4" w:space="0"/>
              <w:right w:val="single" w:color="auto"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3</w:t>
            </w:r>
          </w:p>
        </w:tc>
        <w:tc>
          <w:tcPr>
            <w:tcW w:w="1701"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continue"/>
            <w:tcBorders>
              <w:left w:val="nil"/>
              <w:right w:val="single" w:color="auto" w:sz="4" w:space="0"/>
            </w:tcBorders>
            <w:vAlign w:val="center"/>
          </w:tcPr>
          <w:p>
            <w:pPr>
              <w:jc w:val="center"/>
              <w:rPr>
                <w:rFonts w:ascii="Times New Roman" w:hAnsi="Times New Roman"/>
                <w:kern w:val="0"/>
                <w:sz w:val="18"/>
                <w:szCs w:val="18"/>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3</w:t>
            </w:r>
          </w:p>
        </w:tc>
        <w:tc>
          <w:tcPr>
            <w:tcW w:w="2024" w:type="dxa"/>
            <w:tcBorders>
              <w:top w:val="nil"/>
              <w:left w:val="nil"/>
              <w:bottom w:val="single" w:color="auto" w:sz="4" w:space="0"/>
              <w:right w:val="single" w:color="auto" w:sz="4" w:space="0"/>
            </w:tcBorders>
            <w:vAlign w:val="center"/>
          </w:tcPr>
          <w:p>
            <w:pPr>
              <w:widowControl/>
              <w:jc w:val="left"/>
              <w:textAlignment w:val="bottom"/>
              <w:rPr>
                <w:rFonts w:ascii="Times New Roman" w:hAnsi="Times New Roman"/>
                <w:kern w:val="0"/>
                <w:sz w:val="18"/>
                <w:szCs w:val="18"/>
              </w:rPr>
            </w:pPr>
            <w:r>
              <w:rPr>
                <w:rFonts w:ascii="Segoe UI Symbol" w:hAnsi="Segoe UI Symbol" w:cs="Segoe UI Symbol"/>
                <w:kern w:val="0"/>
                <w:sz w:val="18"/>
                <w:szCs w:val="18"/>
              </w:rPr>
              <w:t>★</w:t>
            </w:r>
            <w:r>
              <w:rPr>
                <w:rFonts w:ascii="Times New Roman" w:hAnsi="Times New Roman"/>
                <w:kern w:val="0"/>
                <w:sz w:val="18"/>
                <w:szCs w:val="18"/>
              </w:rPr>
              <w:t>煤矿开采（专）</w:t>
            </w:r>
          </w:p>
        </w:tc>
        <w:tc>
          <w:tcPr>
            <w:tcW w:w="851" w:type="dxa"/>
            <w:tcBorders>
              <w:top w:val="nil"/>
              <w:left w:val="nil"/>
              <w:bottom w:val="single" w:color="auto" w:sz="4" w:space="0"/>
              <w:right w:val="single" w:color="auto" w:sz="4" w:space="0"/>
            </w:tcBorders>
            <w:vAlign w:val="center"/>
          </w:tcPr>
          <w:p>
            <w:pPr>
              <w:widowControl/>
              <w:jc w:val="center"/>
              <w:textAlignment w:val="bottom"/>
              <w:rPr>
                <w:rFonts w:ascii="Times New Roman" w:hAnsi="Times New Roman"/>
                <w:kern w:val="0"/>
                <w:sz w:val="18"/>
                <w:szCs w:val="18"/>
              </w:rPr>
            </w:pPr>
            <w:r>
              <w:rPr>
                <w:rFonts w:hint="eastAsia" w:ascii="Times New Roman" w:hAnsi="Times New Roman"/>
                <w:kern w:val="0"/>
                <w:sz w:val="18"/>
                <w:szCs w:val="18"/>
              </w:rPr>
              <w:t>5</w:t>
            </w:r>
          </w:p>
        </w:tc>
        <w:tc>
          <w:tcPr>
            <w:tcW w:w="1134"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统设必修</w:t>
            </w:r>
          </w:p>
        </w:tc>
        <w:tc>
          <w:tcPr>
            <w:tcW w:w="649" w:type="dxa"/>
            <w:tcBorders>
              <w:top w:val="nil"/>
              <w:left w:val="nil"/>
              <w:bottom w:val="single" w:color="auto" w:sz="4" w:space="0"/>
              <w:right w:val="single" w:color="auto"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3</w:t>
            </w:r>
          </w:p>
        </w:tc>
        <w:tc>
          <w:tcPr>
            <w:tcW w:w="1701"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continue"/>
            <w:tcBorders>
              <w:left w:val="nil"/>
              <w:bottom w:val="single" w:color="auto" w:sz="4" w:space="0"/>
              <w:right w:val="single" w:color="auto" w:sz="4" w:space="0"/>
            </w:tcBorders>
            <w:vAlign w:val="center"/>
          </w:tcPr>
          <w:p>
            <w:pPr>
              <w:widowControl/>
              <w:jc w:val="center"/>
              <w:rPr>
                <w:rFonts w:ascii="Times New Roman" w:hAnsi="Times New Roman"/>
                <w:kern w:val="0"/>
                <w:sz w:val="18"/>
                <w:szCs w:val="18"/>
              </w:rPr>
            </w:pPr>
          </w:p>
        </w:tc>
      </w:tr>
      <w:tr>
        <w:tblPrEx>
          <w:tblCellMar>
            <w:top w:w="0" w:type="dxa"/>
            <w:left w:w="108" w:type="dxa"/>
            <w:bottom w:w="0" w:type="dxa"/>
            <w:right w:w="108" w:type="dxa"/>
          </w:tblCellMar>
        </w:tblPrEx>
        <w:trPr>
          <w:trHeight w:val="407" w:hRule="atLeast"/>
          <w:jc w:val="center"/>
        </w:trPr>
        <w:tc>
          <w:tcPr>
            <w:tcW w:w="7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4</w:t>
            </w:r>
          </w:p>
        </w:tc>
        <w:tc>
          <w:tcPr>
            <w:tcW w:w="2024" w:type="dxa"/>
            <w:tcBorders>
              <w:top w:val="nil"/>
              <w:left w:val="nil"/>
              <w:bottom w:val="single" w:color="auto" w:sz="4" w:space="0"/>
              <w:right w:val="single" w:color="auto" w:sz="4" w:space="0"/>
            </w:tcBorders>
            <w:vAlign w:val="center"/>
          </w:tcPr>
          <w:p>
            <w:pPr>
              <w:widowControl/>
              <w:jc w:val="left"/>
              <w:textAlignment w:val="bottom"/>
              <w:rPr>
                <w:rFonts w:ascii="Times New Roman" w:hAnsi="Times New Roman"/>
                <w:kern w:val="0"/>
                <w:sz w:val="18"/>
                <w:szCs w:val="18"/>
              </w:rPr>
            </w:pPr>
            <w:r>
              <w:rPr>
                <w:rFonts w:ascii="Times New Roman" w:hAnsi="Times New Roman"/>
                <w:kern w:val="0"/>
                <w:sz w:val="18"/>
                <w:szCs w:val="18"/>
              </w:rPr>
              <w:t>煤矿电工学（专）</w:t>
            </w:r>
          </w:p>
        </w:tc>
        <w:tc>
          <w:tcPr>
            <w:tcW w:w="851" w:type="dxa"/>
            <w:tcBorders>
              <w:top w:val="nil"/>
              <w:left w:val="nil"/>
              <w:bottom w:val="single" w:color="auto" w:sz="4" w:space="0"/>
              <w:right w:val="single" w:color="auto"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3</w:t>
            </w:r>
          </w:p>
        </w:tc>
        <w:tc>
          <w:tcPr>
            <w:tcW w:w="1134"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统设必修</w:t>
            </w:r>
          </w:p>
        </w:tc>
        <w:tc>
          <w:tcPr>
            <w:tcW w:w="649" w:type="dxa"/>
            <w:tcBorders>
              <w:top w:val="nil"/>
              <w:left w:val="nil"/>
              <w:bottom w:val="single" w:color="auto" w:sz="4" w:space="0"/>
              <w:right w:val="single" w:color="auto"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sz w:val="18"/>
                <w:szCs w:val="18"/>
              </w:rPr>
              <w:t>3</w:t>
            </w:r>
          </w:p>
        </w:tc>
        <w:tc>
          <w:tcPr>
            <w:tcW w:w="1701"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restart"/>
            <w:tcBorders>
              <w:top w:val="nil"/>
              <w:left w:val="nil"/>
              <w:right w:val="single" w:color="auto" w:sz="4" w:space="0"/>
            </w:tcBorders>
            <w:vAlign w:val="center"/>
          </w:tcPr>
          <w:p>
            <w:pPr>
              <w:jc w:val="center"/>
              <w:rPr>
                <w:rFonts w:ascii="Times New Roman" w:hAnsi="Times New Roman"/>
                <w:kern w:val="0"/>
                <w:sz w:val="18"/>
                <w:szCs w:val="18"/>
              </w:rPr>
            </w:pPr>
            <w:r>
              <w:rPr>
                <w:rFonts w:hint="eastAsia" w:ascii="Times New Roman" w:hAnsi="Times New Roman"/>
                <w:kern w:val="0"/>
                <w:sz w:val="18"/>
                <w:szCs w:val="18"/>
              </w:rPr>
              <w:t>铁旭初</w:t>
            </w:r>
          </w:p>
        </w:tc>
      </w:tr>
      <w:tr>
        <w:tblPrEx>
          <w:tblCellMar>
            <w:top w:w="0" w:type="dxa"/>
            <w:left w:w="108" w:type="dxa"/>
            <w:bottom w:w="0" w:type="dxa"/>
            <w:right w:w="108" w:type="dxa"/>
          </w:tblCellMar>
        </w:tblPrEx>
        <w:trPr>
          <w:trHeight w:val="118" w:hRule="atLeast"/>
          <w:jc w:val="center"/>
        </w:trPr>
        <w:tc>
          <w:tcPr>
            <w:tcW w:w="7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5</w:t>
            </w:r>
          </w:p>
        </w:tc>
        <w:tc>
          <w:tcPr>
            <w:tcW w:w="2024" w:type="dxa"/>
            <w:tcBorders>
              <w:top w:val="nil"/>
              <w:left w:val="nil"/>
              <w:bottom w:val="single" w:color="auto" w:sz="4" w:space="0"/>
              <w:right w:val="single" w:color="auto" w:sz="4" w:space="0"/>
            </w:tcBorders>
            <w:vAlign w:val="center"/>
          </w:tcPr>
          <w:p>
            <w:pPr>
              <w:widowControl/>
              <w:jc w:val="left"/>
              <w:textAlignment w:val="bottom"/>
              <w:rPr>
                <w:rFonts w:ascii="Times New Roman" w:hAnsi="Times New Roman"/>
                <w:kern w:val="0"/>
                <w:sz w:val="18"/>
                <w:szCs w:val="18"/>
              </w:rPr>
            </w:pPr>
            <w:r>
              <w:rPr>
                <w:rFonts w:ascii="Segoe UI Symbol" w:hAnsi="Segoe UI Symbol" w:cs="Segoe UI Symbol"/>
                <w:kern w:val="0"/>
                <w:sz w:val="18"/>
                <w:szCs w:val="18"/>
              </w:rPr>
              <w:t>★</w:t>
            </w:r>
            <w:r>
              <w:rPr>
                <w:rFonts w:ascii="Times New Roman" w:hAnsi="Times New Roman"/>
                <w:kern w:val="0"/>
                <w:sz w:val="18"/>
                <w:szCs w:val="18"/>
              </w:rPr>
              <w:t>矿山压力及岩层控制（专）</w:t>
            </w:r>
          </w:p>
        </w:tc>
        <w:tc>
          <w:tcPr>
            <w:tcW w:w="851" w:type="dxa"/>
            <w:tcBorders>
              <w:top w:val="nil"/>
              <w:left w:val="nil"/>
              <w:bottom w:val="single" w:color="auto" w:sz="4" w:space="0"/>
              <w:right w:val="single" w:color="auto"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3</w:t>
            </w:r>
          </w:p>
        </w:tc>
        <w:tc>
          <w:tcPr>
            <w:tcW w:w="1134"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统设必修</w:t>
            </w:r>
          </w:p>
        </w:tc>
        <w:tc>
          <w:tcPr>
            <w:tcW w:w="649" w:type="dxa"/>
            <w:tcBorders>
              <w:top w:val="nil"/>
              <w:left w:val="nil"/>
              <w:bottom w:val="single" w:color="auto" w:sz="4" w:space="0"/>
              <w:right w:val="single" w:color="auto"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sz w:val="18"/>
                <w:szCs w:val="18"/>
              </w:rPr>
              <w:t>3</w:t>
            </w:r>
          </w:p>
        </w:tc>
        <w:tc>
          <w:tcPr>
            <w:tcW w:w="1701"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continue"/>
            <w:tcBorders>
              <w:left w:val="nil"/>
              <w:bottom w:val="single" w:color="auto" w:sz="4" w:space="0"/>
              <w:right w:val="single" w:color="auto" w:sz="4" w:space="0"/>
            </w:tcBorders>
            <w:vAlign w:val="center"/>
          </w:tcPr>
          <w:p>
            <w:pPr>
              <w:widowControl/>
              <w:jc w:val="center"/>
              <w:rPr>
                <w:rFonts w:ascii="Times New Roman" w:hAnsi="Times New Roman"/>
                <w:kern w:val="0"/>
                <w:sz w:val="18"/>
                <w:szCs w:val="18"/>
              </w:rPr>
            </w:pPr>
          </w:p>
        </w:tc>
      </w:tr>
      <w:tr>
        <w:tblPrEx>
          <w:tblCellMar>
            <w:top w:w="0" w:type="dxa"/>
            <w:left w:w="108" w:type="dxa"/>
            <w:bottom w:w="0" w:type="dxa"/>
            <w:right w:w="108" w:type="dxa"/>
          </w:tblCellMar>
        </w:tblPrEx>
        <w:trPr>
          <w:trHeight w:val="118" w:hRule="atLeast"/>
          <w:jc w:val="center"/>
        </w:trPr>
        <w:tc>
          <w:tcPr>
            <w:tcW w:w="7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6</w:t>
            </w:r>
          </w:p>
        </w:tc>
        <w:tc>
          <w:tcPr>
            <w:tcW w:w="2024" w:type="dxa"/>
            <w:tcBorders>
              <w:top w:val="nil"/>
              <w:left w:val="nil"/>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煤炭开采史</w:t>
            </w:r>
          </w:p>
        </w:tc>
        <w:tc>
          <w:tcPr>
            <w:tcW w:w="851" w:type="dxa"/>
            <w:tcBorders>
              <w:top w:val="nil"/>
              <w:left w:val="nil"/>
              <w:bottom w:val="single" w:color="auto" w:sz="4" w:space="0"/>
              <w:right w:val="single" w:color="auto"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1</w:t>
            </w:r>
          </w:p>
        </w:tc>
        <w:tc>
          <w:tcPr>
            <w:tcW w:w="1134"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非统设选修</w:t>
            </w:r>
          </w:p>
        </w:tc>
        <w:tc>
          <w:tcPr>
            <w:tcW w:w="649" w:type="dxa"/>
            <w:tcBorders>
              <w:top w:val="nil"/>
              <w:left w:val="nil"/>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3</w:t>
            </w:r>
          </w:p>
        </w:tc>
        <w:tc>
          <w:tcPr>
            <w:tcW w:w="1701"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restart"/>
            <w:tcBorders>
              <w:top w:val="nil"/>
              <w:left w:val="nil"/>
              <w:right w:val="single" w:color="auto" w:sz="4" w:space="0"/>
            </w:tcBorders>
            <w:vAlign w:val="center"/>
          </w:tcPr>
          <w:p>
            <w:pPr>
              <w:jc w:val="center"/>
              <w:rPr>
                <w:rFonts w:ascii="Times New Roman" w:hAnsi="Times New Roman"/>
                <w:kern w:val="0"/>
                <w:sz w:val="18"/>
                <w:szCs w:val="18"/>
              </w:rPr>
            </w:pPr>
            <w:r>
              <w:rPr>
                <w:rFonts w:hint="eastAsia" w:ascii="Times New Roman" w:hAnsi="Times New Roman"/>
                <w:kern w:val="0"/>
                <w:sz w:val="18"/>
                <w:szCs w:val="18"/>
              </w:rPr>
              <w:t>吴建华</w:t>
            </w:r>
          </w:p>
        </w:tc>
      </w:tr>
      <w:tr>
        <w:tblPrEx>
          <w:tblCellMar>
            <w:top w:w="0" w:type="dxa"/>
            <w:left w:w="108" w:type="dxa"/>
            <w:bottom w:w="0" w:type="dxa"/>
            <w:right w:w="108" w:type="dxa"/>
          </w:tblCellMar>
        </w:tblPrEx>
        <w:trPr>
          <w:trHeight w:val="118" w:hRule="atLeast"/>
          <w:jc w:val="center"/>
        </w:trPr>
        <w:tc>
          <w:tcPr>
            <w:tcW w:w="7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7</w:t>
            </w:r>
          </w:p>
        </w:tc>
        <w:tc>
          <w:tcPr>
            <w:tcW w:w="2024" w:type="dxa"/>
            <w:tcBorders>
              <w:top w:val="nil"/>
              <w:left w:val="nil"/>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Times New Roman" w:hAnsi="Times New Roman"/>
                <w:kern w:val="0"/>
                <w:sz w:val="18"/>
                <w:szCs w:val="18"/>
              </w:rPr>
              <w:t>采掘机械（专）</w:t>
            </w:r>
          </w:p>
        </w:tc>
        <w:tc>
          <w:tcPr>
            <w:tcW w:w="851" w:type="dxa"/>
            <w:tcBorders>
              <w:top w:val="nil"/>
              <w:left w:val="nil"/>
              <w:bottom w:val="single" w:color="auto" w:sz="4" w:space="0"/>
              <w:right w:val="single" w:color="auto"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3</w:t>
            </w:r>
          </w:p>
        </w:tc>
        <w:tc>
          <w:tcPr>
            <w:tcW w:w="1134"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统设必修</w:t>
            </w:r>
          </w:p>
        </w:tc>
        <w:tc>
          <w:tcPr>
            <w:tcW w:w="649" w:type="dxa"/>
            <w:tcBorders>
              <w:top w:val="nil"/>
              <w:left w:val="nil"/>
              <w:bottom w:val="single" w:color="auto" w:sz="4" w:space="0"/>
              <w:right w:val="single" w:color="auto"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4</w:t>
            </w:r>
          </w:p>
        </w:tc>
        <w:tc>
          <w:tcPr>
            <w:tcW w:w="1701"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continue"/>
            <w:tcBorders>
              <w:left w:val="nil"/>
              <w:right w:val="single" w:color="auto" w:sz="4" w:space="0"/>
            </w:tcBorders>
            <w:vAlign w:val="center"/>
          </w:tcPr>
          <w:p>
            <w:pPr>
              <w:jc w:val="center"/>
              <w:rPr>
                <w:rFonts w:ascii="Times New Roman" w:hAnsi="Times New Roman"/>
                <w:kern w:val="0"/>
                <w:sz w:val="18"/>
                <w:szCs w:val="18"/>
              </w:rPr>
            </w:pPr>
          </w:p>
        </w:tc>
      </w:tr>
      <w:tr>
        <w:tblPrEx>
          <w:tblCellMar>
            <w:top w:w="0" w:type="dxa"/>
            <w:left w:w="108" w:type="dxa"/>
            <w:bottom w:w="0" w:type="dxa"/>
            <w:right w:w="108" w:type="dxa"/>
          </w:tblCellMar>
        </w:tblPrEx>
        <w:trPr>
          <w:trHeight w:val="118" w:hRule="atLeast"/>
          <w:jc w:val="center"/>
        </w:trPr>
        <w:tc>
          <w:tcPr>
            <w:tcW w:w="7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8</w:t>
            </w:r>
          </w:p>
        </w:tc>
        <w:tc>
          <w:tcPr>
            <w:tcW w:w="2024" w:type="dxa"/>
            <w:tcBorders>
              <w:top w:val="nil"/>
              <w:left w:val="nil"/>
              <w:bottom w:val="single" w:color="auto" w:sz="4" w:space="0"/>
              <w:right w:val="single" w:color="auto" w:sz="4" w:space="0"/>
            </w:tcBorders>
            <w:vAlign w:val="center"/>
          </w:tcPr>
          <w:p>
            <w:pPr>
              <w:widowControl/>
              <w:jc w:val="left"/>
              <w:textAlignment w:val="bottom"/>
              <w:rPr>
                <w:rFonts w:ascii="Times New Roman" w:hAnsi="Times New Roman"/>
                <w:kern w:val="0"/>
                <w:sz w:val="18"/>
                <w:szCs w:val="18"/>
              </w:rPr>
            </w:pPr>
            <w:r>
              <w:rPr>
                <w:rFonts w:ascii="Times New Roman" w:hAnsi="Times New Roman"/>
                <w:kern w:val="0"/>
                <w:sz w:val="18"/>
                <w:szCs w:val="18"/>
              </w:rPr>
              <w:t>矿井运输提升（专）</w:t>
            </w:r>
          </w:p>
        </w:tc>
        <w:tc>
          <w:tcPr>
            <w:tcW w:w="851" w:type="dxa"/>
            <w:tcBorders>
              <w:top w:val="nil"/>
              <w:left w:val="nil"/>
              <w:bottom w:val="single" w:color="auto" w:sz="4" w:space="0"/>
              <w:right w:val="single" w:color="auto"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2</w:t>
            </w:r>
          </w:p>
        </w:tc>
        <w:tc>
          <w:tcPr>
            <w:tcW w:w="1134"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统设必修</w:t>
            </w:r>
          </w:p>
        </w:tc>
        <w:tc>
          <w:tcPr>
            <w:tcW w:w="649" w:type="dxa"/>
            <w:tcBorders>
              <w:top w:val="nil"/>
              <w:left w:val="nil"/>
              <w:bottom w:val="single" w:color="auto" w:sz="4" w:space="0"/>
              <w:right w:val="single" w:color="auto"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4</w:t>
            </w:r>
          </w:p>
        </w:tc>
        <w:tc>
          <w:tcPr>
            <w:tcW w:w="1701"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continue"/>
            <w:tcBorders>
              <w:left w:val="nil"/>
              <w:bottom w:val="single" w:color="auto" w:sz="4" w:space="0"/>
              <w:right w:val="single" w:color="auto" w:sz="4" w:space="0"/>
            </w:tcBorders>
            <w:vAlign w:val="center"/>
          </w:tcPr>
          <w:p>
            <w:pPr>
              <w:widowControl/>
              <w:jc w:val="center"/>
              <w:rPr>
                <w:rFonts w:ascii="Times New Roman" w:hAnsi="Times New Roman"/>
                <w:kern w:val="0"/>
                <w:sz w:val="18"/>
                <w:szCs w:val="18"/>
              </w:rPr>
            </w:pPr>
          </w:p>
        </w:tc>
      </w:tr>
      <w:tr>
        <w:tblPrEx>
          <w:tblCellMar>
            <w:top w:w="0" w:type="dxa"/>
            <w:left w:w="108" w:type="dxa"/>
            <w:bottom w:w="0" w:type="dxa"/>
            <w:right w:w="108" w:type="dxa"/>
          </w:tblCellMar>
        </w:tblPrEx>
        <w:trPr>
          <w:trHeight w:val="118" w:hRule="atLeast"/>
          <w:jc w:val="center"/>
        </w:trPr>
        <w:tc>
          <w:tcPr>
            <w:tcW w:w="7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9</w:t>
            </w:r>
          </w:p>
        </w:tc>
        <w:tc>
          <w:tcPr>
            <w:tcW w:w="2024" w:type="dxa"/>
            <w:tcBorders>
              <w:top w:val="nil"/>
              <w:left w:val="nil"/>
              <w:bottom w:val="single" w:color="auto" w:sz="4" w:space="0"/>
              <w:right w:val="single" w:color="auto" w:sz="4" w:space="0"/>
            </w:tcBorders>
            <w:vAlign w:val="center"/>
          </w:tcPr>
          <w:p>
            <w:pPr>
              <w:widowControl/>
              <w:spacing w:line="500" w:lineRule="exact"/>
              <w:textAlignment w:val="center"/>
              <w:rPr>
                <w:rFonts w:ascii="Times New Roman" w:hAnsi="Times New Roman"/>
                <w:kern w:val="0"/>
                <w:sz w:val="18"/>
                <w:szCs w:val="18"/>
              </w:rPr>
            </w:pPr>
            <w:r>
              <w:rPr>
                <w:rFonts w:ascii="Times New Roman" w:hAnsi="Times New Roman"/>
                <w:kern w:val="0"/>
                <w:sz w:val="18"/>
                <w:szCs w:val="18"/>
              </w:rPr>
              <w:t>《煤矿安全规程》解读</w:t>
            </w:r>
          </w:p>
        </w:tc>
        <w:tc>
          <w:tcPr>
            <w:tcW w:w="851" w:type="dxa"/>
            <w:tcBorders>
              <w:top w:val="nil"/>
              <w:left w:val="nil"/>
              <w:bottom w:val="single" w:color="auto" w:sz="4" w:space="0"/>
              <w:right w:val="single" w:color="auto" w:sz="4" w:space="0"/>
            </w:tcBorders>
            <w:vAlign w:val="center"/>
          </w:tcPr>
          <w:p>
            <w:pPr>
              <w:widowControl/>
              <w:spacing w:line="500" w:lineRule="exact"/>
              <w:jc w:val="center"/>
              <w:textAlignment w:val="center"/>
              <w:rPr>
                <w:rFonts w:ascii="Times New Roman" w:hAnsi="Times New Roman"/>
                <w:kern w:val="0"/>
                <w:sz w:val="18"/>
                <w:szCs w:val="18"/>
              </w:rPr>
            </w:pPr>
            <w:r>
              <w:rPr>
                <w:rFonts w:ascii="Times New Roman" w:hAnsi="Times New Roman"/>
                <w:kern w:val="0"/>
                <w:sz w:val="18"/>
                <w:szCs w:val="18"/>
              </w:rPr>
              <w:t>3</w:t>
            </w:r>
          </w:p>
        </w:tc>
        <w:tc>
          <w:tcPr>
            <w:tcW w:w="1134"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非统设选修</w:t>
            </w:r>
          </w:p>
        </w:tc>
        <w:tc>
          <w:tcPr>
            <w:tcW w:w="649" w:type="dxa"/>
            <w:tcBorders>
              <w:top w:val="nil"/>
              <w:left w:val="nil"/>
              <w:bottom w:val="single" w:color="auto" w:sz="4" w:space="0"/>
              <w:right w:val="single" w:color="auto" w:sz="4" w:space="0"/>
            </w:tcBorders>
            <w:vAlign w:val="center"/>
          </w:tcPr>
          <w:p>
            <w:pPr>
              <w:widowControl/>
              <w:spacing w:line="500" w:lineRule="exact"/>
              <w:jc w:val="center"/>
              <w:textAlignment w:val="center"/>
              <w:rPr>
                <w:rFonts w:ascii="Times New Roman" w:hAnsi="Times New Roman"/>
                <w:szCs w:val="21"/>
              </w:rPr>
            </w:pPr>
            <w:r>
              <w:rPr>
                <w:rFonts w:ascii="Times New Roman" w:hAnsi="Times New Roman"/>
                <w:kern w:val="0"/>
                <w:sz w:val="18"/>
                <w:szCs w:val="18"/>
              </w:rPr>
              <w:t>4</w:t>
            </w:r>
          </w:p>
        </w:tc>
        <w:tc>
          <w:tcPr>
            <w:tcW w:w="1701"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restart"/>
            <w:tcBorders>
              <w:top w:val="nil"/>
              <w:left w:val="nil"/>
              <w:right w:val="single" w:color="auto" w:sz="4" w:space="0"/>
            </w:tcBorders>
            <w:vAlign w:val="center"/>
          </w:tcPr>
          <w:p>
            <w:pPr>
              <w:jc w:val="center"/>
              <w:rPr>
                <w:rFonts w:ascii="Times New Roman" w:hAnsi="Times New Roman"/>
                <w:kern w:val="0"/>
                <w:sz w:val="18"/>
                <w:szCs w:val="18"/>
              </w:rPr>
            </w:pPr>
            <w:r>
              <w:rPr>
                <w:rFonts w:hint="eastAsia" w:ascii="Times New Roman" w:hAnsi="Times New Roman"/>
                <w:kern w:val="0"/>
                <w:sz w:val="18"/>
                <w:szCs w:val="18"/>
              </w:rPr>
              <w:t>强辉</w:t>
            </w:r>
          </w:p>
        </w:tc>
      </w:tr>
      <w:tr>
        <w:tblPrEx>
          <w:tblCellMar>
            <w:top w:w="0" w:type="dxa"/>
            <w:left w:w="108" w:type="dxa"/>
            <w:bottom w:w="0" w:type="dxa"/>
            <w:right w:w="108" w:type="dxa"/>
          </w:tblCellMar>
        </w:tblPrEx>
        <w:trPr>
          <w:trHeight w:val="118"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10</w:t>
            </w:r>
          </w:p>
        </w:tc>
        <w:tc>
          <w:tcPr>
            <w:tcW w:w="2024" w:type="dxa"/>
            <w:tcBorders>
              <w:top w:val="single" w:color="auto" w:sz="4" w:space="0"/>
              <w:left w:val="nil"/>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煤矿开采前沿讲座</w:t>
            </w:r>
          </w:p>
        </w:tc>
        <w:tc>
          <w:tcPr>
            <w:tcW w:w="851" w:type="dxa"/>
            <w:tcBorders>
              <w:top w:val="single" w:color="auto" w:sz="4" w:space="0"/>
              <w:left w:val="nil"/>
              <w:bottom w:val="single" w:color="auto" w:sz="4" w:space="0"/>
              <w:right w:val="single" w:color="auto" w:sz="4" w:space="0"/>
            </w:tcBorders>
            <w:vAlign w:val="center"/>
          </w:tcPr>
          <w:p>
            <w:pPr>
              <w:widowControl/>
              <w:jc w:val="center"/>
              <w:textAlignment w:val="bottom"/>
              <w:rPr>
                <w:rFonts w:ascii="Times New Roman" w:hAnsi="Times New Roman"/>
                <w:kern w:val="0"/>
                <w:sz w:val="18"/>
                <w:szCs w:val="18"/>
              </w:rPr>
            </w:pPr>
            <w:r>
              <w:rPr>
                <w:rFonts w:ascii="Times New Roman" w:hAnsi="Times New Roman"/>
                <w:kern w:val="0"/>
                <w:sz w:val="18"/>
                <w:szCs w:val="18"/>
              </w:rPr>
              <w:t>2</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非统设选修</w:t>
            </w:r>
          </w:p>
        </w:tc>
        <w:tc>
          <w:tcPr>
            <w:tcW w:w="649"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4</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continue"/>
            <w:tcBorders>
              <w:left w:val="nil"/>
              <w:right w:val="single" w:color="auto" w:sz="4" w:space="0"/>
            </w:tcBorders>
            <w:vAlign w:val="center"/>
          </w:tcPr>
          <w:p>
            <w:pPr>
              <w:widowControl/>
              <w:jc w:val="center"/>
              <w:rPr>
                <w:rFonts w:ascii="Times New Roman" w:hAnsi="Times New Roman"/>
                <w:kern w:val="0"/>
                <w:sz w:val="18"/>
                <w:szCs w:val="18"/>
              </w:rPr>
            </w:pPr>
          </w:p>
        </w:tc>
      </w:tr>
      <w:tr>
        <w:tblPrEx>
          <w:tblCellMar>
            <w:top w:w="0" w:type="dxa"/>
            <w:left w:w="108" w:type="dxa"/>
            <w:bottom w:w="0" w:type="dxa"/>
            <w:right w:w="108" w:type="dxa"/>
          </w:tblCellMar>
        </w:tblPrEx>
        <w:trPr>
          <w:trHeight w:val="118"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18"/>
                <w:szCs w:val="18"/>
              </w:rPr>
            </w:pPr>
            <w:r>
              <w:rPr>
                <w:rFonts w:hint="eastAsia" w:ascii="Times New Roman" w:hAnsi="Times New Roman"/>
                <w:kern w:val="0"/>
                <w:sz w:val="18"/>
                <w:szCs w:val="18"/>
              </w:rPr>
              <w:t>11</w:t>
            </w:r>
          </w:p>
        </w:tc>
        <w:tc>
          <w:tcPr>
            <w:tcW w:w="2024" w:type="dxa"/>
            <w:tcBorders>
              <w:top w:val="single" w:color="auto" w:sz="4" w:space="0"/>
              <w:left w:val="nil"/>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hint="eastAsia" w:ascii="Times New Roman" w:hAnsi="Times New Roman"/>
                <w:kern w:val="0"/>
                <w:sz w:val="18"/>
                <w:szCs w:val="18"/>
              </w:rPr>
              <w:t>矿井通风与安全</w:t>
            </w:r>
          </w:p>
        </w:tc>
        <w:tc>
          <w:tcPr>
            <w:tcW w:w="851" w:type="dxa"/>
            <w:tcBorders>
              <w:top w:val="single" w:color="auto" w:sz="4" w:space="0"/>
              <w:left w:val="nil"/>
              <w:bottom w:val="single" w:color="auto" w:sz="4" w:space="0"/>
              <w:right w:val="single" w:color="auto" w:sz="4" w:space="0"/>
            </w:tcBorders>
            <w:vAlign w:val="center"/>
          </w:tcPr>
          <w:p>
            <w:pPr>
              <w:widowControl/>
              <w:jc w:val="center"/>
              <w:textAlignment w:val="bottom"/>
              <w:rPr>
                <w:rFonts w:ascii="Times New Roman" w:hAnsi="Times New Roman"/>
                <w:kern w:val="0"/>
                <w:sz w:val="18"/>
                <w:szCs w:val="18"/>
              </w:rPr>
            </w:pPr>
            <w:r>
              <w:rPr>
                <w:rFonts w:hint="eastAsia" w:ascii="Times New Roman" w:hAnsi="Times New Roman"/>
                <w:kern w:val="0"/>
                <w:sz w:val="18"/>
                <w:szCs w:val="18"/>
              </w:rPr>
              <w:t>4</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非统设选修</w:t>
            </w:r>
          </w:p>
        </w:tc>
        <w:tc>
          <w:tcPr>
            <w:tcW w:w="649" w:type="dxa"/>
            <w:tcBorders>
              <w:top w:val="single" w:color="auto" w:sz="4" w:space="0"/>
              <w:left w:val="nil"/>
              <w:bottom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4</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未开</w:t>
            </w:r>
          </w:p>
        </w:tc>
        <w:tc>
          <w:tcPr>
            <w:tcW w:w="768"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18"/>
                <w:szCs w:val="18"/>
              </w:rPr>
            </w:pPr>
            <w:r>
              <w:rPr>
                <w:rFonts w:ascii="Times New Roman" w:hAnsi="Times New Roman"/>
                <w:kern w:val="0"/>
                <w:sz w:val="18"/>
                <w:szCs w:val="18"/>
              </w:rPr>
              <w:t>无</w:t>
            </w:r>
          </w:p>
        </w:tc>
        <w:tc>
          <w:tcPr>
            <w:tcW w:w="1027" w:type="dxa"/>
            <w:vMerge w:val="continue"/>
            <w:tcBorders>
              <w:left w:val="nil"/>
              <w:bottom w:val="single" w:color="auto" w:sz="4" w:space="0"/>
              <w:right w:val="single" w:color="auto" w:sz="4" w:space="0"/>
            </w:tcBorders>
            <w:vAlign w:val="center"/>
          </w:tcPr>
          <w:p>
            <w:pPr>
              <w:widowControl/>
              <w:jc w:val="center"/>
              <w:rPr>
                <w:rFonts w:ascii="Times New Roman" w:hAnsi="Times New Roman"/>
                <w:kern w:val="0"/>
                <w:sz w:val="18"/>
                <w:szCs w:val="18"/>
              </w:rPr>
            </w:pPr>
          </w:p>
        </w:tc>
      </w:tr>
    </w:tbl>
    <w:p>
      <w:pPr>
        <w:pStyle w:val="3"/>
        <w:spacing w:beforeLines="50" w:afterLines="50" w:line="500" w:lineRule="exact"/>
        <w:ind w:firstLine="602" w:firstLineChars="200"/>
        <w:rPr>
          <w:rFonts w:ascii="Times New Roman" w:hAnsi="Times New Roman" w:eastAsia="仿宋_GB2312" w:cs="Times New Roman"/>
          <w:sz w:val="30"/>
          <w:szCs w:val="30"/>
        </w:rPr>
      </w:pPr>
      <w:bookmarkStart w:id="76" w:name="_Toc423019128"/>
      <w:bookmarkStart w:id="77" w:name="_Toc29612"/>
      <w:r>
        <w:rPr>
          <w:rFonts w:ascii="Times New Roman" w:hAnsi="Times New Roman" w:eastAsia="仿宋_GB2312" w:cs="Times New Roman"/>
          <w:sz w:val="30"/>
          <w:szCs w:val="30"/>
        </w:rPr>
        <w:t>（二）师资队伍建设</w:t>
      </w:r>
      <w:bookmarkEnd w:id="76"/>
      <w:bookmarkEnd w:id="77"/>
    </w:p>
    <w:p>
      <w:pPr>
        <w:ind w:right="-58" w:firstLine="708" w:firstLineChars="236"/>
        <w:rPr>
          <w:rFonts w:ascii="Times New Roman" w:hAnsi="Times New Roman" w:eastAsia="仿宋_GB2312"/>
          <w:sz w:val="30"/>
          <w:szCs w:val="30"/>
        </w:rPr>
      </w:pPr>
      <w:r>
        <w:rPr>
          <w:rFonts w:ascii="Times New Roman" w:hAnsi="Times New Roman" w:eastAsia="仿宋_GB2312"/>
          <w:sz w:val="30"/>
          <w:szCs w:val="30"/>
        </w:rPr>
        <w:t>目前，本专业所开设的课程，均配备具有丰富的教学经验和指导实践经历的教师。同时学院将积极选拔和培养符合煤炭教育需要的教师队伍，努力打造优秀远程教育师资团队。注重培养青年骨干教师，在两年内使学院师资队伍形成梯队化。课程师资配备情况见表四。</w:t>
      </w:r>
    </w:p>
    <w:p>
      <w:pPr>
        <w:ind w:right="-58" w:firstLine="708" w:firstLineChars="236"/>
        <w:rPr>
          <w:rFonts w:ascii="Times New Roman" w:hAnsi="Times New Roman" w:eastAsia="仿宋_GB2312"/>
          <w:sz w:val="30"/>
          <w:szCs w:val="30"/>
        </w:rPr>
      </w:pPr>
    </w:p>
    <w:p>
      <w:pPr>
        <w:ind w:right="-58" w:firstLine="708" w:firstLineChars="236"/>
        <w:rPr>
          <w:rFonts w:ascii="Times New Roman" w:hAnsi="Times New Roman" w:eastAsia="仿宋_GB2312"/>
          <w:sz w:val="30"/>
          <w:szCs w:val="30"/>
        </w:rPr>
      </w:pPr>
    </w:p>
    <w:p>
      <w:pPr>
        <w:ind w:right="-58"/>
        <w:rPr>
          <w:rFonts w:ascii="Times New Roman" w:hAnsi="Times New Roman" w:eastAsia="仿宋_GB2312"/>
          <w:sz w:val="30"/>
          <w:szCs w:val="30"/>
        </w:rPr>
      </w:pPr>
    </w:p>
    <w:p>
      <w:pPr>
        <w:spacing w:line="360" w:lineRule="auto"/>
        <w:ind w:right="-58" w:firstLine="603" w:firstLineChars="286"/>
        <w:rPr>
          <w:rFonts w:ascii="Times New Roman" w:hAnsi="Times New Roman" w:eastAsia="仿宋_GB2312"/>
          <w:b/>
          <w:szCs w:val="21"/>
        </w:rPr>
      </w:pPr>
      <w:r>
        <w:rPr>
          <w:rFonts w:ascii="Times New Roman" w:hAnsi="Times New Roman" w:eastAsia="仿宋_GB2312"/>
          <w:b/>
          <w:szCs w:val="21"/>
        </w:rPr>
        <w:t>表四</w:t>
      </w:r>
    </w:p>
    <w:tbl>
      <w:tblPr>
        <w:tblStyle w:val="21"/>
        <w:tblpPr w:leftFromText="180" w:rightFromText="180" w:vertAnchor="text" w:horzAnchor="margin" w:tblpXSpec="center" w:tblpY="1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3136"/>
        <w:gridCol w:w="4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764"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序号</w:t>
            </w:r>
          </w:p>
        </w:tc>
        <w:tc>
          <w:tcPr>
            <w:tcW w:w="3136"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napToGrid w:val="0"/>
                <w:szCs w:val="21"/>
              </w:rPr>
              <w:t>课程名称</w:t>
            </w:r>
          </w:p>
        </w:tc>
        <w:tc>
          <w:tcPr>
            <w:tcW w:w="4044" w:type="dxa"/>
            <w:tcBorders>
              <w:top w:val="single" w:color="auto" w:sz="4" w:space="0"/>
              <w:left w:val="single" w:color="auto" w:sz="4" w:space="0"/>
              <w:bottom w:val="single" w:color="auto" w:sz="4" w:space="0"/>
              <w:right w:val="single" w:color="auto" w:sz="4" w:space="0"/>
            </w:tcBorders>
            <w:shd w:val="clear" w:color="auto" w:fill="CCFFCC"/>
            <w:vAlign w:val="center"/>
          </w:tcPr>
          <w:p>
            <w:pPr>
              <w:jc w:val="center"/>
              <w:rPr>
                <w:rFonts w:ascii="Times New Roman" w:hAnsi="Times New Roman"/>
                <w:b/>
                <w:szCs w:val="21"/>
              </w:rPr>
            </w:pPr>
            <w:r>
              <w:rPr>
                <w:rFonts w:ascii="Times New Roman" w:hAnsi="Times New Roman"/>
                <w:b/>
                <w:szCs w:val="21"/>
              </w:rPr>
              <w:t>责任教师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kern w:val="0"/>
                <w:sz w:val="18"/>
                <w:szCs w:val="18"/>
              </w:rPr>
            </w:pPr>
            <w:r>
              <w:rPr>
                <w:rFonts w:ascii="Times New Roman" w:hAnsi="Times New Roman"/>
                <w:kern w:val="0"/>
                <w:sz w:val="18"/>
                <w:szCs w:val="18"/>
              </w:rPr>
              <w:t>1</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中国特色社会主义理论体系概论</w:t>
            </w:r>
          </w:p>
        </w:tc>
        <w:tc>
          <w:tcPr>
            <w:tcW w:w="4044"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kern w:val="0"/>
                <w:sz w:val="18"/>
                <w:szCs w:val="18"/>
              </w:rPr>
            </w:pPr>
          </w:p>
          <w:p>
            <w:pPr>
              <w:jc w:val="center"/>
              <w:rPr>
                <w:rFonts w:ascii="Times New Roman" w:hAnsi="Times New Roman"/>
                <w:kern w:val="0"/>
                <w:sz w:val="18"/>
                <w:szCs w:val="18"/>
              </w:rPr>
            </w:pPr>
            <w:r>
              <w:rPr>
                <w:rFonts w:ascii="Times New Roman" w:hAnsi="Times New Roman"/>
                <w:kern w:val="0"/>
                <w:sz w:val="18"/>
                <w:szCs w:val="18"/>
              </w:rPr>
              <w:t>国家开放大学已开课程</w:t>
            </w:r>
          </w:p>
          <w:p>
            <w:pPr>
              <w:jc w:val="center"/>
              <w:rPr>
                <w:rFonts w:ascii="Times New Roman" w:hAnsi="Times New Roman"/>
                <w:kern w:val="0"/>
                <w:sz w:val="18"/>
                <w:szCs w:val="18"/>
              </w:rPr>
            </w:pPr>
          </w:p>
          <w:p>
            <w:pPr>
              <w:jc w:val="center"/>
              <w:rPr>
                <w:rFonts w:ascii="Times New Roman" w:hAnsi="Times New Roman"/>
                <w:szCs w:val="21"/>
              </w:rPr>
            </w:pPr>
            <w:r>
              <w:rPr>
                <w:rFonts w:ascii="Times New Roman" w:hAnsi="Times New Roman"/>
                <w:kern w:val="0"/>
                <w:sz w:val="18"/>
                <w:szCs w:val="18"/>
              </w:rPr>
              <w:t>选聘优秀教师担任课程责任教师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kern w:val="0"/>
                <w:sz w:val="18"/>
                <w:szCs w:val="18"/>
              </w:rPr>
            </w:pPr>
            <w:r>
              <w:rPr>
                <w:rFonts w:ascii="Times New Roman" w:hAnsi="Times New Roman"/>
                <w:kern w:val="0"/>
                <w:sz w:val="18"/>
                <w:szCs w:val="18"/>
              </w:rPr>
              <w:t>2</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国家开放大学学习指南</w:t>
            </w:r>
          </w:p>
        </w:tc>
        <w:tc>
          <w:tcPr>
            <w:tcW w:w="4044" w:type="dxa"/>
            <w:vMerge w:val="continue"/>
            <w:tcBorders>
              <w:left w:val="single" w:color="auto" w:sz="4" w:space="0"/>
              <w:right w:val="single" w:color="auto" w:sz="4" w:space="0"/>
            </w:tcBorders>
            <w:vAlign w:val="center"/>
          </w:tcPr>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kern w:val="0"/>
                <w:sz w:val="18"/>
                <w:szCs w:val="18"/>
              </w:rPr>
            </w:pPr>
            <w:r>
              <w:rPr>
                <w:rFonts w:ascii="Times New Roman" w:hAnsi="Times New Roman"/>
                <w:kern w:val="0"/>
                <w:sz w:val="18"/>
                <w:szCs w:val="18"/>
              </w:rPr>
              <w:t>3</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计算机应用基础</w:t>
            </w:r>
          </w:p>
        </w:tc>
        <w:tc>
          <w:tcPr>
            <w:tcW w:w="4044" w:type="dxa"/>
            <w:vMerge w:val="continue"/>
            <w:tcBorders>
              <w:left w:val="single" w:color="auto" w:sz="4" w:space="0"/>
              <w:right w:val="single" w:color="auto" w:sz="4" w:space="0"/>
            </w:tcBorders>
            <w:vAlign w:val="center"/>
          </w:tcPr>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kern w:val="0"/>
                <w:sz w:val="18"/>
                <w:szCs w:val="18"/>
              </w:rPr>
            </w:pPr>
            <w:r>
              <w:rPr>
                <w:rFonts w:ascii="Times New Roman" w:hAnsi="Times New Roman"/>
                <w:kern w:val="0"/>
                <w:sz w:val="18"/>
                <w:szCs w:val="18"/>
              </w:rPr>
              <w:t>4</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高等数学基础</w:t>
            </w:r>
          </w:p>
        </w:tc>
        <w:tc>
          <w:tcPr>
            <w:tcW w:w="4044" w:type="dxa"/>
            <w:vMerge w:val="continue"/>
            <w:tcBorders>
              <w:left w:val="single" w:color="auto" w:sz="4" w:space="0"/>
              <w:right w:val="single" w:color="auto" w:sz="4" w:space="0"/>
            </w:tcBorders>
            <w:vAlign w:val="center"/>
          </w:tcPr>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kern w:val="0"/>
                <w:sz w:val="18"/>
                <w:szCs w:val="18"/>
              </w:rPr>
            </w:pPr>
            <w:r>
              <w:rPr>
                <w:rFonts w:ascii="Times New Roman" w:hAnsi="Times New Roman"/>
                <w:kern w:val="0"/>
                <w:sz w:val="18"/>
                <w:szCs w:val="18"/>
              </w:rPr>
              <w:t>5</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英语I（1）</w:t>
            </w:r>
          </w:p>
        </w:tc>
        <w:tc>
          <w:tcPr>
            <w:tcW w:w="4044" w:type="dxa"/>
            <w:vMerge w:val="continue"/>
            <w:tcBorders>
              <w:left w:val="single" w:color="auto" w:sz="4" w:space="0"/>
              <w:right w:val="single" w:color="auto" w:sz="4" w:space="0"/>
            </w:tcBorders>
            <w:vAlign w:val="center"/>
          </w:tcPr>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kern w:val="0"/>
                <w:sz w:val="18"/>
                <w:szCs w:val="18"/>
              </w:rPr>
            </w:pPr>
            <w:r>
              <w:rPr>
                <w:rFonts w:ascii="Times New Roman" w:hAnsi="Times New Roman"/>
                <w:sz w:val="18"/>
                <w:szCs w:val="18"/>
              </w:rPr>
              <w:t>6</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机械制图</w:t>
            </w:r>
          </w:p>
        </w:tc>
        <w:tc>
          <w:tcPr>
            <w:tcW w:w="4044" w:type="dxa"/>
            <w:vMerge w:val="continue"/>
            <w:tcBorders>
              <w:left w:val="single" w:color="auto" w:sz="4" w:space="0"/>
              <w:right w:val="single" w:color="auto" w:sz="4" w:space="0"/>
            </w:tcBorders>
            <w:vAlign w:val="center"/>
          </w:tcPr>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7</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煤矿地质</w:t>
            </w:r>
          </w:p>
        </w:tc>
        <w:tc>
          <w:tcPr>
            <w:tcW w:w="4044" w:type="dxa"/>
            <w:vMerge w:val="continue"/>
            <w:tcBorders>
              <w:left w:val="single" w:color="auto" w:sz="4" w:space="0"/>
              <w:right w:val="single" w:color="auto" w:sz="4" w:space="0"/>
            </w:tcBorders>
            <w:vAlign w:val="center"/>
          </w:tcPr>
          <w:p>
            <w:pP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8</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电工电子技术</w:t>
            </w:r>
          </w:p>
        </w:tc>
        <w:tc>
          <w:tcPr>
            <w:tcW w:w="4044" w:type="dxa"/>
            <w:vMerge w:val="continue"/>
            <w:tcBorders>
              <w:left w:val="single" w:color="auto" w:sz="4" w:space="0"/>
              <w:right w:val="single" w:color="auto" w:sz="4" w:space="0"/>
            </w:tcBorders>
            <w:vAlign w:val="center"/>
          </w:tcPr>
          <w:p>
            <w:pP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9</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工程力学</w:t>
            </w:r>
          </w:p>
        </w:tc>
        <w:tc>
          <w:tcPr>
            <w:tcW w:w="4044" w:type="dxa"/>
            <w:vMerge w:val="continue"/>
            <w:tcBorders>
              <w:left w:val="single" w:color="auto" w:sz="4" w:space="0"/>
              <w:right w:val="single" w:color="auto" w:sz="4" w:space="0"/>
            </w:tcBorders>
            <w:vAlign w:val="center"/>
          </w:tcPr>
          <w:p>
            <w:pP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10</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sz w:val="18"/>
                <w:szCs w:val="18"/>
              </w:rPr>
              <w:t>矿井测量</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11</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机械设计基础</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12</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sz w:val="18"/>
                <w:szCs w:val="18"/>
              </w:rPr>
              <w:t>矿图识读与CAD应用</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13</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Times New Roman" w:hAnsi="Times New Roman"/>
                <w:kern w:val="0"/>
                <w:sz w:val="18"/>
                <w:szCs w:val="18"/>
              </w:rPr>
              <w:t>矿山环境保护</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14</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Segoe UI Symbol" w:hAnsi="Segoe UI Symbol" w:cs="Segoe UI Symbol"/>
                <w:kern w:val="0"/>
                <w:sz w:val="18"/>
                <w:szCs w:val="18"/>
              </w:rPr>
              <w:t>“</w:t>
            </w:r>
            <w:r>
              <w:rPr>
                <w:rFonts w:hint="eastAsia" w:ascii="Segoe UI Symbol" w:hAnsi="Segoe UI Symbol" w:cs="Segoe UI Symbol"/>
                <w:kern w:val="0"/>
                <w:sz w:val="18"/>
                <w:szCs w:val="18"/>
              </w:rPr>
              <w:t>三法</w:t>
            </w:r>
            <w:r>
              <w:rPr>
                <w:rFonts w:ascii="Segoe UI Symbol" w:hAnsi="Segoe UI Symbol" w:cs="Segoe UI Symbol"/>
                <w:kern w:val="0"/>
                <w:sz w:val="18"/>
                <w:szCs w:val="18"/>
              </w:rPr>
              <w:t>”</w:t>
            </w:r>
            <w:r>
              <w:rPr>
                <w:rFonts w:hint="eastAsia" w:ascii="Segoe UI Symbol" w:hAnsi="Segoe UI Symbol" w:cs="Segoe UI Symbol"/>
                <w:kern w:val="0"/>
                <w:sz w:val="18"/>
                <w:szCs w:val="18"/>
              </w:rPr>
              <w:t>基础与实务</w:t>
            </w:r>
          </w:p>
        </w:tc>
        <w:tc>
          <w:tcPr>
            <w:tcW w:w="4044"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武龙飞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15</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Times New Roman" w:hAnsi="Times New Roman"/>
                <w:kern w:val="0"/>
                <w:sz w:val="18"/>
                <w:szCs w:val="18"/>
              </w:rPr>
              <w:t>矿井通风与安全</w:t>
            </w:r>
          </w:p>
        </w:tc>
        <w:tc>
          <w:tcPr>
            <w:tcW w:w="4044" w:type="dxa"/>
            <w:vMerge w:val="continue"/>
            <w:tcBorders>
              <w:top w:val="single" w:color="auto" w:sz="4" w:space="0"/>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16</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Segoe UI Symbol" w:hAnsi="Segoe UI Symbol" w:cs="Segoe UI Symbol"/>
                <w:kern w:val="0"/>
                <w:sz w:val="18"/>
                <w:szCs w:val="18"/>
              </w:rPr>
              <w:t>★</w:t>
            </w:r>
            <w:r>
              <w:rPr>
                <w:rFonts w:ascii="Times New Roman" w:hAnsi="Times New Roman"/>
                <w:kern w:val="0"/>
                <w:sz w:val="18"/>
                <w:szCs w:val="18"/>
              </w:rPr>
              <w:t>井巷工程（专）</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17</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Segoe UI Symbol" w:hAnsi="Segoe UI Symbol" w:cs="Segoe UI Symbol"/>
                <w:kern w:val="0"/>
                <w:sz w:val="18"/>
                <w:szCs w:val="18"/>
              </w:rPr>
              <w:t>★</w:t>
            </w:r>
            <w:r>
              <w:rPr>
                <w:rFonts w:ascii="Times New Roman" w:hAnsi="Times New Roman"/>
                <w:kern w:val="0"/>
                <w:sz w:val="18"/>
                <w:szCs w:val="18"/>
              </w:rPr>
              <w:t>煤矿开采（专）</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18</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Times New Roman" w:hAnsi="Times New Roman"/>
                <w:kern w:val="0"/>
                <w:sz w:val="18"/>
                <w:szCs w:val="18"/>
              </w:rPr>
              <w:t>煤矿电工学（专）</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19</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Segoe UI Symbol" w:hAnsi="Segoe UI Symbol" w:cs="Segoe UI Symbol"/>
                <w:kern w:val="0"/>
                <w:sz w:val="18"/>
                <w:szCs w:val="18"/>
              </w:rPr>
              <w:t>★</w:t>
            </w:r>
            <w:r>
              <w:rPr>
                <w:rFonts w:ascii="Times New Roman" w:hAnsi="Times New Roman"/>
                <w:kern w:val="0"/>
                <w:sz w:val="18"/>
                <w:szCs w:val="18"/>
              </w:rPr>
              <w:t>矿山压力及岩层控制（专）</w:t>
            </w:r>
          </w:p>
        </w:tc>
        <w:tc>
          <w:tcPr>
            <w:tcW w:w="4044" w:type="dxa"/>
            <w:vMerge w:val="continue"/>
            <w:tcBorders>
              <w:left w:val="single" w:color="auto" w:sz="4" w:space="0"/>
              <w:bottom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20</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Times New Roman" w:hAnsi="Times New Roman"/>
                <w:kern w:val="0"/>
                <w:sz w:val="18"/>
                <w:szCs w:val="18"/>
              </w:rPr>
              <w:t>采掘机械（专）</w:t>
            </w:r>
          </w:p>
        </w:tc>
        <w:tc>
          <w:tcPr>
            <w:tcW w:w="4044"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韩玥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21</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sz w:val="18"/>
                <w:szCs w:val="18"/>
              </w:rPr>
            </w:pPr>
            <w:r>
              <w:rPr>
                <w:rFonts w:ascii="Times New Roman" w:hAnsi="Times New Roman"/>
                <w:kern w:val="0"/>
                <w:sz w:val="18"/>
                <w:szCs w:val="18"/>
              </w:rPr>
              <w:t>矿井运输提升（专）</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22</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jc w:val="left"/>
              <w:textAlignment w:val="bottom"/>
              <w:rPr>
                <w:rFonts w:ascii="Times New Roman" w:hAnsi="Times New Roman"/>
                <w:kern w:val="0"/>
                <w:sz w:val="18"/>
                <w:szCs w:val="18"/>
              </w:rPr>
            </w:pPr>
            <w:r>
              <w:rPr>
                <w:rFonts w:ascii="Times New Roman" w:hAnsi="Times New Roman"/>
                <w:kern w:val="0"/>
                <w:sz w:val="18"/>
                <w:szCs w:val="18"/>
              </w:rPr>
              <w:t>煤炭开采史</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23</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《煤矿安全规程》解读</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24</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煤矿开采前沿讲座</w:t>
            </w:r>
          </w:p>
        </w:tc>
        <w:tc>
          <w:tcPr>
            <w:tcW w:w="4044" w:type="dxa"/>
            <w:vMerge w:val="continue"/>
            <w:tcBorders>
              <w:left w:val="single" w:color="auto" w:sz="4" w:space="0"/>
              <w:bottom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25</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sz w:val="18"/>
                <w:szCs w:val="18"/>
              </w:rPr>
            </w:pPr>
            <w:r>
              <w:rPr>
                <w:rFonts w:ascii="Segoe UI Symbol" w:hAnsi="Segoe UI Symbol" w:cs="Segoe UI Symbol"/>
                <w:kern w:val="0"/>
                <w:sz w:val="18"/>
                <w:szCs w:val="18"/>
              </w:rPr>
              <w:t>★</w:t>
            </w:r>
            <w:r>
              <w:rPr>
                <w:rFonts w:ascii="Times New Roman" w:hAnsi="Times New Roman"/>
                <w:sz w:val="18"/>
                <w:szCs w:val="18"/>
              </w:rPr>
              <w:t>地质实习</w:t>
            </w:r>
          </w:p>
        </w:tc>
        <w:tc>
          <w:tcPr>
            <w:tcW w:w="4044" w:type="dxa"/>
            <w:vMerge w:val="restart"/>
            <w:tcBorders>
              <w:left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赵飞虎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26</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测量实习（专）</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27</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井巷工程课程设计</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28</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kern w:val="0"/>
                <w:sz w:val="18"/>
                <w:szCs w:val="18"/>
              </w:rPr>
            </w:pPr>
            <w:r>
              <w:rPr>
                <w:rFonts w:ascii="Segoe UI Symbol" w:hAnsi="Segoe UI Symbol" w:cs="Segoe UI Symbol"/>
                <w:kern w:val="0"/>
                <w:sz w:val="18"/>
                <w:szCs w:val="18"/>
              </w:rPr>
              <w:t>★</w:t>
            </w:r>
            <w:r>
              <w:rPr>
                <w:rFonts w:ascii="Times New Roman" w:hAnsi="Times New Roman"/>
                <w:kern w:val="0"/>
                <w:sz w:val="18"/>
                <w:szCs w:val="18"/>
              </w:rPr>
              <w:t>矿图实训（专）</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29</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矿井通风与安全课程设计</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7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 w:val="18"/>
                <w:szCs w:val="18"/>
              </w:rPr>
            </w:pPr>
            <w:r>
              <w:rPr>
                <w:rFonts w:ascii="Times New Roman" w:hAnsi="Times New Roman"/>
                <w:sz w:val="18"/>
                <w:szCs w:val="18"/>
              </w:rPr>
              <w:t>30</w:t>
            </w:r>
          </w:p>
        </w:tc>
        <w:tc>
          <w:tcPr>
            <w:tcW w:w="313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sz w:val="18"/>
                <w:szCs w:val="18"/>
              </w:rPr>
            </w:pPr>
            <w:r>
              <w:rPr>
                <w:rFonts w:ascii="Times New Roman" w:hAnsi="Times New Roman"/>
                <w:kern w:val="0"/>
                <w:sz w:val="18"/>
                <w:szCs w:val="18"/>
              </w:rPr>
              <w:t>实训实习与毕业设计</w:t>
            </w:r>
          </w:p>
        </w:tc>
        <w:tc>
          <w:tcPr>
            <w:tcW w:w="4044" w:type="dxa"/>
            <w:vMerge w:val="continue"/>
            <w:tcBorders>
              <w:left w:val="single" w:color="auto" w:sz="4" w:space="0"/>
              <w:right w:val="single" w:color="auto" w:sz="4" w:space="0"/>
            </w:tcBorders>
            <w:vAlign w:val="center"/>
          </w:tcPr>
          <w:p>
            <w:pPr>
              <w:jc w:val="center"/>
              <w:rPr>
                <w:rFonts w:ascii="Times New Roman" w:hAnsi="Times New Roman"/>
                <w:sz w:val="18"/>
                <w:szCs w:val="18"/>
              </w:rPr>
            </w:pPr>
          </w:p>
        </w:tc>
      </w:tr>
    </w:tbl>
    <w:p>
      <w:pPr>
        <w:pStyle w:val="3"/>
        <w:numPr>
          <w:ilvl w:val="0"/>
          <w:numId w:val="2"/>
        </w:numPr>
        <w:spacing w:beforeLines="50" w:afterLines="50" w:line="500" w:lineRule="exact"/>
        <w:ind w:firstLine="600" w:firstLineChars="200"/>
        <w:rPr>
          <w:rFonts w:ascii="Times New Roman" w:hAnsi="Times New Roman" w:eastAsia="仿宋_GB2312" w:cs="Times New Roman"/>
          <w:b w:val="0"/>
          <w:sz w:val="30"/>
          <w:szCs w:val="30"/>
        </w:rPr>
      </w:pPr>
      <w:bookmarkStart w:id="78" w:name="_Toc31825"/>
      <w:bookmarkStart w:id="79" w:name="_Toc423019129"/>
      <w:r>
        <w:rPr>
          <w:rFonts w:ascii="Times New Roman" w:hAnsi="Times New Roman" w:eastAsia="仿宋_GB2312" w:cs="Times New Roman"/>
          <w:b w:val="0"/>
          <w:sz w:val="30"/>
          <w:szCs w:val="30"/>
        </w:rPr>
        <w:t>实施教学改革创新</w:t>
      </w:r>
      <w:bookmarkEnd w:id="78"/>
      <w:bookmarkEnd w:id="79"/>
    </w:p>
    <w:p>
      <w:pPr>
        <w:pStyle w:val="16"/>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1.在专业规则课程体系中涵盖基本的职业资格证书考核内容，同时强调将实践技能纳入教学体系，实现学历教育与非学历教育融合。通过学分银行的融通转换机制，搭建本专业与采煤工（高级）的技能鉴定职业资格证书的转换互认。</w:t>
      </w:r>
    </w:p>
    <w:p>
      <w:pPr>
        <w:pStyle w:val="16"/>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2.大力推进“产学研”相结合的人才培养模式，借助学习中心（教学点）内外实训基地和学生所在企业，建立由专业（职业）技术实践课程和综合实践课程所组成的、企业职业要求与学习者自主选择于一体的柔性课程体系。积极探索“订单培养”教育模式，确保培养质量。采取企业评价和学校评价相结合方式，探索人才评价新方法。</w:t>
      </w:r>
    </w:p>
    <w:p>
      <w:pPr>
        <w:pStyle w:val="16"/>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积极探索两年制、两年半业余学习的开放教育教学模式。</w:t>
      </w:r>
    </w:p>
    <w:p>
      <w:pPr>
        <w:pStyle w:val="3"/>
        <w:spacing w:beforeLines="50" w:afterLines="50" w:line="500" w:lineRule="exact"/>
        <w:ind w:firstLine="600" w:firstLineChars="200"/>
        <w:rPr>
          <w:rFonts w:ascii="Times New Roman" w:hAnsi="Times New Roman" w:eastAsia="仿宋_GB2312" w:cs="Times New Roman"/>
          <w:b w:val="0"/>
          <w:sz w:val="30"/>
          <w:szCs w:val="30"/>
        </w:rPr>
      </w:pPr>
      <w:bookmarkStart w:id="80" w:name="_Toc8942"/>
      <w:bookmarkStart w:id="81" w:name="_Toc423019130"/>
      <w:r>
        <w:rPr>
          <w:rFonts w:ascii="Times New Roman" w:hAnsi="Times New Roman" w:eastAsia="仿宋_GB2312" w:cs="Times New Roman"/>
          <w:b w:val="0"/>
          <w:sz w:val="30"/>
          <w:szCs w:val="30"/>
        </w:rPr>
        <w:t>（四）学习中心（点）及实训基地建设</w:t>
      </w:r>
      <w:bookmarkEnd w:id="80"/>
      <w:bookmarkEnd w:id="81"/>
    </w:p>
    <w:p>
      <w:pPr>
        <w:pStyle w:val="16"/>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为进一步做好本专业技能型人才培养任务的试点招生工作，充分发挥学习中心（点）实训的教学功能，加快完善煤矿开采技术专业（专科）技能型实训内容建设，保证2015年秋季招生后，实训开出率100%。</w:t>
      </w:r>
    </w:p>
    <w:p>
      <w:pPr>
        <w:pStyle w:val="16"/>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煤炭学院将根据国家开放大学学习中心及实训基地的相关标准及要求，从</w:t>
      </w:r>
      <w:r>
        <w:rPr>
          <w:rFonts w:hint="eastAsia" w:ascii="Times New Roman" w:hAnsi="Times New Roman" w:eastAsia="仿宋_GB2312" w:cs="Times New Roman"/>
          <w:sz w:val="30"/>
          <w:szCs w:val="30"/>
        </w:rPr>
        <w:t>附件6</w:t>
      </w:r>
      <w:r>
        <w:rPr>
          <w:rFonts w:ascii="Times New Roman" w:hAnsi="Times New Roman" w:eastAsia="仿宋_GB2312" w:cs="Times New Roman"/>
          <w:sz w:val="30"/>
          <w:szCs w:val="30"/>
        </w:rPr>
        <w:t>和附件7所列的备选单位中择优选取学习中心和实训基地。</w:t>
      </w:r>
    </w:p>
    <w:p>
      <w:pPr>
        <w:pStyle w:val="2"/>
        <w:spacing w:beforeLines="50" w:afterLines="50" w:line="500" w:lineRule="exact"/>
        <w:ind w:firstLine="602"/>
        <w:rPr>
          <w:rFonts w:ascii="Times New Roman" w:hAnsi="Times New Roman" w:cs="Times New Roman"/>
          <w:sz w:val="30"/>
          <w:szCs w:val="30"/>
        </w:rPr>
      </w:pPr>
      <w:bookmarkStart w:id="82" w:name="_Toc23588"/>
      <w:bookmarkStart w:id="83" w:name="_Toc423019131"/>
      <w:r>
        <w:rPr>
          <w:rFonts w:ascii="Times New Roman" w:hAnsi="Times New Roman" w:cs="Times New Roman"/>
          <w:sz w:val="30"/>
          <w:szCs w:val="30"/>
        </w:rPr>
        <w:t>六、保障措施</w:t>
      </w:r>
      <w:bookmarkEnd w:id="82"/>
      <w:bookmarkEnd w:id="83"/>
    </w:p>
    <w:p>
      <w:pPr>
        <w:pStyle w:val="3"/>
        <w:spacing w:beforeLines="50" w:afterLines="50" w:line="500" w:lineRule="exact"/>
        <w:ind w:firstLine="600" w:firstLineChars="200"/>
        <w:rPr>
          <w:rFonts w:ascii="Times New Roman" w:hAnsi="Times New Roman" w:eastAsia="仿宋_GB2312" w:cs="Times New Roman"/>
          <w:b w:val="0"/>
          <w:sz w:val="30"/>
          <w:szCs w:val="30"/>
        </w:rPr>
      </w:pPr>
      <w:bookmarkStart w:id="84" w:name="_Toc7503"/>
      <w:bookmarkStart w:id="85" w:name="_Toc423019132"/>
      <w:r>
        <w:rPr>
          <w:rFonts w:ascii="Times New Roman" w:hAnsi="Times New Roman" w:eastAsia="仿宋_GB2312" w:cs="Times New Roman"/>
          <w:b w:val="0"/>
          <w:sz w:val="30"/>
          <w:szCs w:val="30"/>
        </w:rPr>
        <w:t>（一）加强组织领导</w:t>
      </w:r>
      <w:bookmarkEnd w:id="84"/>
      <w:bookmarkEnd w:id="85"/>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煤炭学院高度重视煤矿开采技术专业建设，成立了由王虹桥院长为组长的专业建设领导小组，下设煤矿开采技术专业筹建办公室，制定了详细的工作计划和落实方案。</w:t>
      </w:r>
    </w:p>
    <w:p>
      <w:pPr>
        <w:pStyle w:val="3"/>
        <w:spacing w:beforeLines="50" w:afterLines="50" w:line="500" w:lineRule="exact"/>
        <w:ind w:firstLine="600" w:firstLineChars="200"/>
        <w:rPr>
          <w:rFonts w:ascii="Times New Roman" w:hAnsi="Times New Roman" w:eastAsia="仿宋_GB2312" w:cs="Times New Roman"/>
          <w:b w:val="0"/>
          <w:sz w:val="30"/>
          <w:szCs w:val="30"/>
        </w:rPr>
      </w:pPr>
      <w:bookmarkStart w:id="86" w:name="_Toc423019133"/>
      <w:bookmarkStart w:id="87" w:name="_Toc30619"/>
      <w:r>
        <w:rPr>
          <w:rFonts w:ascii="Times New Roman" w:hAnsi="Times New Roman" w:eastAsia="仿宋_GB2312" w:cs="Times New Roman"/>
          <w:b w:val="0"/>
          <w:sz w:val="30"/>
          <w:szCs w:val="30"/>
        </w:rPr>
        <w:t>（二）强化项目管理</w:t>
      </w:r>
      <w:bookmarkEnd w:id="86"/>
      <w:bookmarkEnd w:id="87"/>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煤炭学院成立专业建设管理委员会，形成一套合理的专业建设管理流程，本专业在学院的统一管理下，采用项目管理方式，进一步推动专业建设工作的顺利开展。</w:t>
      </w:r>
    </w:p>
    <w:p>
      <w:pPr>
        <w:pStyle w:val="3"/>
        <w:spacing w:beforeLines="50" w:afterLines="50" w:line="500" w:lineRule="exact"/>
        <w:ind w:firstLine="600" w:firstLineChars="200"/>
        <w:rPr>
          <w:rFonts w:ascii="Times New Roman" w:hAnsi="Times New Roman" w:eastAsia="仿宋_GB2312" w:cs="Times New Roman"/>
          <w:b w:val="0"/>
          <w:sz w:val="30"/>
          <w:szCs w:val="30"/>
        </w:rPr>
      </w:pPr>
      <w:bookmarkStart w:id="88" w:name="_Toc8894"/>
      <w:bookmarkStart w:id="89" w:name="_Toc423019134"/>
      <w:r>
        <w:rPr>
          <w:rFonts w:ascii="Times New Roman" w:hAnsi="Times New Roman" w:eastAsia="仿宋_GB2312" w:cs="Times New Roman"/>
          <w:b w:val="0"/>
          <w:sz w:val="30"/>
          <w:szCs w:val="30"/>
        </w:rPr>
        <w:t>（三）同步课题立项</w:t>
      </w:r>
      <w:bookmarkEnd w:id="88"/>
      <w:bookmarkEnd w:id="89"/>
    </w:p>
    <w:p>
      <w:pPr>
        <w:pStyle w:val="16"/>
        <w:spacing w:line="360" w:lineRule="auto"/>
        <w:ind w:firstLine="600"/>
        <w:rPr>
          <w:rFonts w:ascii="Times New Roman" w:hAnsi="Times New Roman" w:eastAsia="仿宋_GB2312" w:cs="Times New Roman"/>
          <w:sz w:val="30"/>
          <w:szCs w:val="30"/>
        </w:rPr>
      </w:pPr>
      <w:r>
        <w:rPr>
          <w:rFonts w:ascii="Times New Roman" w:hAnsi="Times New Roman" w:eastAsia="仿宋_GB2312" w:cs="Times New Roman"/>
          <w:sz w:val="30"/>
          <w:szCs w:val="30"/>
        </w:rPr>
        <w:t>根据国家开放大学开放教育精神，本专业在建设过程中将同步启动课题研究工作，把煤矿开采技术专业的实践教学作为案例，探讨在国家开放大学新框架下，新的人才培养模式、教学/教学管理模式研究及新专业建设模式。</w:t>
      </w:r>
    </w:p>
    <w:p>
      <w:pPr>
        <w:rPr>
          <w:rFonts w:ascii="Times New Roman" w:hAnsi="Times New Roman"/>
        </w:rPr>
      </w:pPr>
    </w:p>
    <w:p>
      <w:pPr>
        <w:rPr>
          <w:rFonts w:ascii="Times New Roman" w:hAnsi="Times New Roman"/>
        </w:rPr>
      </w:pPr>
      <w:r>
        <w:rPr>
          <w:rFonts w:ascii="Times New Roman" w:hAnsi="Times New Roman"/>
        </w:rPr>
        <w:br w:type="page"/>
      </w:r>
    </w:p>
    <w:p>
      <w:pPr>
        <w:pStyle w:val="3"/>
        <w:spacing w:before="0" w:after="0" w:line="240" w:lineRule="auto"/>
        <w:jc w:val="center"/>
        <w:rPr>
          <w:rFonts w:ascii="Times New Roman" w:hAnsi="Times New Roman" w:eastAsia="华文中宋" w:cs="Times New Roman"/>
          <w:spacing w:val="-14"/>
          <w:szCs w:val="28"/>
        </w:rPr>
      </w:pPr>
      <w:bookmarkStart w:id="90" w:name="_Toc423019135"/>
      <w:r>
        <w:rPr>
          <w:rFonts w:hint="eastAsia" w:ascii="Times New Roman" w:hAnsi="Times New Roman" w:eastAsia="华文中宋" w:cs="Times New Roman"/>
          <w:spacing w:val="-14"/>
          <w:szCs w:val="28"/>
        </w:rPr>
        <w:t>第八部分</w:t>
      </w:r>
      <w:r>
        <w:rPr>
          <w:rFonts w:ascii="Times New Roman" w:hAnsi="Times New Roman" w:eastAsia="华文中宋" w:cs="Times New Roman"/>
          <w:spacing w:val="-14"/>
          <w:szCs w:val="28"/>
        </w:rPr>
        <w:t>煤矿开采技术专业（专科）统设必修课程建设细目表</w:t>
      </w:r>
      <w:bookmarkEnd w:id="90"/>
    </w:p>
    <w:tbl>
      <w:tblPr>
        <w:tblStyle w:val="21"/>
        <w:tblW w:w="58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582"/>
        <w:gridCol w:w="873"/>
        <w:gridCol w:w="3019"/>
        <w:gridCol w:w="717"/>
        <w:gridCol w:w="1215"/>
        <w:gridCol w:w="875"/>
        <w:gridCol w:w="748"/>
        <w:gridCol w:w="838"/>
        <w:gridCol w:w="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298" w:type="pc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sz w:val="24"/>
              </w:rPr>
              <w:t>序号</w:t>
            </w:r>
          </w:p>
        </w:tc>
        <w:tc>
          <w:tcPr>
            <w:tcW w:w="293" w:type="pc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position w:val="-2"/>
                <w:sz w:val="24"/>
              </w:rPr>
              <w:t>专业</w:t>
            </w:r>
          </w:p>
          <w:p>
            <w:pPr>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position w:val="-2"/>
                <w:sz w:val="24"/>
              </w:rPr>
              <w:t>层次</w:t>
            </w:r>
          </w:p>
        </w:tc>
        <w:tc>
          <w:tcPr>
            <w:tcW w:w="440" w:type="pc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sz w:val="24"/>
              </w:rPr>
              <w:t>专业名称</w:t>
            </w:r>
          </w:p>
        </w:tc>
        <w:tc>
          <w:tcPr>
            <w:tcW w:w="1521" w:type="pc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sz w:val="24"/>
              </w:rPr>
              <w:t>统设必修课程</w:t>
            </w:r>
          </w:p>
        </w:tc>
        <w:tc>
          <w:tcPr>
            <w:tcW w:w="361" w:type="pc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sz w:val="24"/>
              </w:rPr>
              <w:t>课程学分</w:t>
            </w:r>
          </w:p>
        </w:tc>
        <w:tc>
          <w:tcPr>
            <w:tcW w:w="612" w:type="pc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sz w:val="24"/>
              </w:rPr>
              <w:t>建议开设学期</w:t>
            </w:r>
          </w:p>
        </w:tc>
        <w:tc>
          <w:tcPr>
            <w:tcW w:w="441" w:type="pc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sz w:val="24"/>
              </w:rPr>
              <w:t>资源</w:t>
            </w:r>
          </w:p>
        </w:tc>
        <w:tc>
          <w:tcPr>
            <w:tcW w:w="377" w:type="pc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sz w:val="24"/>
              </w:rPr>
              <w:t>考试</w:t>
            </w:r>
          </w:p>
        </w:tc>
        <w:tc>
          <w:tcPr>
            <w:tcW w:w="422" w:type="pct"/>
            <w:tcBorders>
              <w:top w:val="single" w:color="auto" w:sz="4" w:space="0"/>
              <w:left w:val="single" w:color="auto" w:sz="4" w:space="0"/>
              <w:right w:val="single" w:color="auto" w:sz="4" w:space="0"/>
            </w:tcBorders>
            <w:vAlign w:val="center"/>
          </w:tcPr>
          <w:p>
            <w:pPr>
              <w:tabs>
                <w:tab w:val="left" w:pos="1174"/>
              </w:tabs>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sz w:val="24"/>
              </w:rPr>
              <w:t>主持</w:t>
            </w:r>
          </w:p>
          <w:p>
            <w:pPr>
              <w:tabs>
                <w:tab w:val="left" w:pos="1174"/>
              </w:tabs>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sz w:val="24"/>
              </w:rPr>
              <w:t>教师</w:t>
            </w:r>
          </w:p>
        </w:tc>
        <w:tc>
          <w:tcPr>
            <w:tcW w:w="235" w:type="pct"/>
            <w:tcBorders>
              <w:top w:val="single" w:color="auto" w:sz="4" w:space="0"/>
              <w:left w:val="single" w:color="auto" w:sz="4" w:space="0"/>
              <w:right w:val="single" w:color="auto" w:sz="4" w:space="0"/>
            </w:tcBorders>
            <w:vAlign w:val="center"/>
          </w:tcPr>
          <w:p>
            <w:pPr>
              <w:tabs>
                <w:tab w:val="left" w:pos="1894"/>
              </w:tabs>
              <w:autoSpaceDE w:val="0"/>
              <w:autoSpaceDN w:val="0"/>
              <w:adjustRightInd w:val="0"/>
              <w:spacing w:line="320" w:lineRule="exact"/>
              <w:jc w:val="center"/>
              <w:rPr>
                <w:rFonts w:asciiTheme="minorEastAsia" w:hAnsiTheme="minorEastAsia" w:eastAsiaTheme="minorEastAsia"/>
                <w:b/>
                <w:kern w:val="0"/>
                <w:sz w:val="24"/>
              </w:rPr>
            </w:pPr>
            <w:r>
              <w:rPr>
                <w:rFonts w:asciiTheme="minorEastAsia" w:hAnsiTheme="minorEastAsia" w:eastAsiaTheme="minorEastAsia"/>
                <w:b/>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ascii="Times New Roman" w:hAnsi="Times New Roman" w:eastAsia="汉鼎简仿宋"/>
                <w:kern w:val="0"/>
                <w:sz w:val="18"/>
                <w:szCs w:val="18"/>
              </w:rPr>
              <w:t>1</w:t>
            </w:r>
          </w:p>
        </w:tc>
        <w:tc>
          <w:tcPr>
            <w:tcW w:w="293" w:type="pct"/>
            <w:vMerge w:val="restar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heme="minorEastAsia" w:hAnsiTheme="minorEastAsia" w:eastAsiaTheme="minorEastAsia"/>
                <w:b/>
                <w:kern w:val="0"/>
                <w:position w:val="-2"/>
                <w:sz w:val="18"/>
                <w:szCs w:val="18"/>
              </w:rPr>
            </w:pPr>
            <w:r>
              <w:rPr>
                <w:rFonts w:asciiTheme="minorEastAsia" w:hAnsiTheme="minorEastAsia" w:eastAsiaTheme="minorEastAsia"/>
                <w:b/>
                <w:kern w:val="0"/>
                <w:position w:val="-2"/>
                <w:sz w:val="18"/>
                <w:szCs w:val="18"/>
              </w:rPr>
              <w:t>专科</w:t>
            </w:r>
          </w:p>
        </w:tc>
        <w:tc>
          <w:tcPr>
            <w:tcW w:w="440" w:type="pct"/>
            <w:vMerge w:val="restar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heme="minorEastAsia" w:hAnsiTheme="minorEastAsia" w:eastAsiaTheme="minorEastAsia"/>
                <w:b/>
                <w:kern w:val="0"/>
                <w:position w:val="-2"/>
                <w:sz w:val="18"/>
                <w:szCs w:val="18"/>
              </w:rPr>
            </w:pPr>
            <w:r>
              <w:rPr>
                <w:rFonts w:asciiTheme="minorEastAsia" w:hAnsiTheme="minorEastAsia" w:eastAsiaTheme="minorEastAsia"/>
                <w:b/>
                <w:kern w:val="0"/>
                <w:position w:val="-2"/>
                <w:sz w:val="18"/>
                <w:szCs w:val="18"/>
              </w:rPr>
              <w:t>煤矿开采技术</w:t>
            </w:r>
          </w:p>
        </w:tc>
        <w:tc>
          <w:tcPr>
            <w:tcW w:w="1521" w:type="pct"/>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Times New Roman" w:hAnsi="Times New Roman" w:eastAsia="方正仿宋简体"/>
                <w:kern w:val="0"/>
                <w:sz w:val="18"/>
                <w:szCs w:val="18"/>
              </w:rPr>
            </w:pPr>
            <w:r>
              <w:rPr>
                <w:rFonts w:ascii="Times New Roman" w:hAnsi="Times New Roman" w:eastAsia="方正仿宋简体"/>
                <w:kern w:val="0"/>
                <w:sz w:val="18"/>
                <w:szCs w:val="18"/>
              </w:rPr>
              <w:t>中国特色社会主义理论体系概论</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2</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1</w:t>
            </w:r>
          </w:p>
        </w:tc>
        <w:tc>
          <w:tcPr>
            <w:tcW w:w="44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37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422" w:type="pct"/>
            <w:vMerge w:val="restart"/>
            <w:tcBorders>
              <w:top w:val="single" w:color="auto" w:sz="4" w:space="0"/>
              <w:left w:val="single" w:color="auto" w:sz="4" w:space="0"/>
              <w:right w:val="single" w:color="auto" w:sz="4" w:space="0"/>
            </w:tcBorders>
            <w:vAlign w:val="center"/>
          </w:tcPr>
          <w:p>
            <w:pPr>
              <w:tabs>
                <w:tab w:val="left" w:pos="1894"/>
              </w:tabs>
              <w:autoSpaceDE w:val="0"/>
              <w:autoSpaceDN w:val="0"/>
              <w:adjustRightInd w:val="0"/>
              <w:spacing w:line="320" w:lineRule="exact"/>
              <w:jc w:val="center"/>
              <w:rPr>
                <w:rFonts w:hint="eastAsia" w:ascii="Times New Roman" w:hAnsi="Times New Roman" w:eastAsia="方正仿宋简体"/>
                <w:kern w:val="0"/>
                <w:sz w:val="18"/>
                <w:szCs w:val="18"/>
              </w:rPr>
            </w:pPr>
            <w:r>
              <w:rPr>
                <w:rFonts w:hint="eastAsia" w:ascii="Times New Roman" w:hAnsi="Times New Roman" w:eastAsia="方正仿宋简体"/>
                <w:kern w:val="0"/>
                <w:sz w:val="18"/>
                <w:szCs w:val="18"/>
              </w:rPr>
              <w:t>国开</w:t>
            </w:r>
          </w:p>
          <w:p>
            <w:pPr>
              <w:tabs>
                <w:tab w:val="left" w:pos="1894"/>
              </w:tabs>
              <w:autoSpaceDE w:val="0"/>
              <w:autoSpaceDN w:val="0"/>
              <w:adjustRightInd w:val="0"/>
              <w:spacing w:line="320" w:lineRule="exact"/>
              <w:jc w:val="center"/>
              <w:rPr>
                <w:rFonts w:ascii="Times New Roman" w:hAnsi="Times New Roman" w:eastAsia="方正仿宋简体"/>
                <w:kern w:val="0"/>
                <w:sz w:val="18"/>
                <w:szCs w:val="18"/>
              </w:rPr>
            </w:pPr>
            <w:r>
              <w:rPr>
                <w:rFonts w:hint="eastAsia" w:ascii="Times New Roman" w:hAnsi="Times New Roman" w:eastAsia="方正仿宋简体"/>
                <w:kern w:val="0"/>
                <w:sz w:val="18"/>
                <w:szCs w:val="18"/>
              </w:rPr>
              <w:t>已有</w:t>
            </w:r>
          </w:p>
        </w:tc>
        <w:tc>
          <w:tcPr>
            <w:tcW w:w="235" w:type="pct"/>
            <w:tcBorders>
              <w:top w:val="single" w:color="auto" w:sz="4" w:space="0"/>
              <w:left w:val="single" w:color="auto" w:sz="4" w:space="0"/>
              <w:bottom w:val="single" w:color="auto" w:sz="4" w:space="0"/>
              <w:right w:val="single" w:color="auto" w:sz="4" w:space="0"/>
            </w:tcBorders>
          </w:tcPr>
          <w:p>
            <w:pPr>
              <w:tabs>
                <w:tab w:val="left" w:pos="1894"/>
              </w:tabs>
              <w:autoSpaceDE w:val="0"/>
              <w:autoSpaceDN w:val="0"/>
              <w:adjustRightInd w:val="0"/>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ascii="Times New Roman" w:hAnsi="Times New Roman" w:eastAsia="汉鼎简仿宋"/>
                <w:kern w:val="0"/>
                <w:sz w:val="18"/>
                <w:szCs w:val="18"/>
              </w:rPr>
              <w:t>2</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autoSpaceDE w:val="0"/>
              <w:autoSpaceDN w:val="0"/>
              <w:adjustRightInd w:val="0"/>
              <w:spacing w:line="320" w:lineRule="exac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Times New Roman" w:hAnsi="Times New Roman" w:eastAsia="方正仿宋简体"/>
                <w:kern w:val="0"/>
                <w:sz w:val="18"/>
                <w:szCs w:val="18"/>
              </w:rPr>
            </w:pPr>
            <w:r>
              <w:rPr>
                <w:rFonts w:ascii="Times New Roman" w:hAnsi="Times New Roman" w:eastAsia="方正仿宋简体"/>
                <w:kern w:val="0"/>
                <w:sz w:val="18"/>
                <w:szCs w:val="18"/>
              </w:rPr>
              <w:t>国家开放大学学习指南</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1</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1</w:t>
            </w:r>
          </w:p>
        </w:tc>
        <w:tc>
          <w:tcPr>
            <w:tcW w:w="44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37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422" w:type="pct"/>
            <w:vMerge w:val="continue"/>
            <w:tcBorders>
              <w:left w:val="single" w:color="auto" w:sz="4" w:space="0"/>
              <w:right w:val="single" w:color="auto" w:sz="4" w:space="0"/>
            </w:tcBorders>
            <w:vAlign w:val="center"/>
          </w:tcPr>
          <w:p>
            <w:pPr>
              <w:tabs>
                <w:tab w:val="left" w:pos="1894"/>
              </w:tabs>
              <w:autoSpaceDE w:val="0"/>
              <w:autoSpaceDN w:val="0"/>
              <w:adjustRightInd w:val="0"/>
              <w:spacing w:line="320" w:lineRule="exact"/>
              <w:jc w:val="center"/>
              <w:rPr>
                <w:rFonts w:ascii="Times New Roman" w:hAnsi="Times New Roman" w:eastAsia="方正仿宋简体"/>
                <w:kern w:val="0"/>
                <w:sz w:val="18"/>
                <w:szCs w:val="18"/>
              </w:rPr>
            </w:pPr>
          </w:p>
        </w:tc>
        <w:tc>
          <w:tcPr>
            <w:tcW w:w="235" w:type="pct"/>
            <w:tcBorders>
              <w:top w:val="single" w:color="auto" w:sz="4" w:space="0"/>
              <w:left w:val="single" w:color="auto" w:sz="4" w:space="0"/>
              <w:bottom w:val="single" w:color="auto" w:sz="4" w:space="0"/>
              <w:right w:val="single" w:color="auto" w:sz="4" w:space="0"/>
            </w:tcBorders>
          </w:tcPr>
          <w:p>
            <w:pPr>
              <w:tabs>
                <w:tab w:val="left" w:pos="1894"/>
              </w:tabs>
              <w:autoSpaceDE w:val="0"/>
              <w:autoSpaceDN w:val="0"/>
              <w:adjustRightInd w:val="0"/>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98" w:type="pct"/>
            <w:vMerge w:val="restart"/>
            <w:tcBorders>
              <w:top w:val="single" w:color="auto" w:sz="4" w:space="0"/>
              <w:left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ascii="Times New Roman" w:hAnsi="Times New Roman" w:eastAsia="汉鼎简仿宋"/>
                <w:kern w:val="0"/>
                <w:sz w:val="18"/>
                <w:szCs w:val="18"/>
              </w:rPr>
              <w:t>3</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autoSpaceDE w:val="0"/>
              <w:autoSpaceDN w:val="0"/>
              <w:adjustRightInd w:val="0"/>
              <w:spacing w:line="320" w:lineRule="exac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方正仿宋简体"/>
                <w:kern w:val="0"/>
                <w:sz w:val="18"/>
                <w:szCs w:val="18"/>
              </w:rPr>
            </w:pPr>
            <w:r>
              <w:rPr>
                <w:rFonts w:ascii="Times New Roman" w:hAnsi="Times New Roman" w:eastAsia="方正仿宋简体"/>
                <w:kern w:val="0"/>
                <w:sz w:val="18"/>
                <w:szCs w:val="18"/>
              </w:rPr>
              <w:t>计算机应用基础</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4</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1</w:t>
            </w:r>
          </w:p>
        </w:tc>
        <w:tc>
          <w:tcPr>
            <w:tcW w:w="44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37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422" w:type="pct"/>
            <w:vMerge w:val="continue"/>
            <w:tcBorders>
              <w:left w:val="single" w:color="auto" w:sz="4" w:space="0"/>
              <w:right w:val="single" w:color="auto" w:sz="4" w:space="0"/>
            </w:tcBorders>
            <w:vAlign w:val="center"/>
          </w:tcPr>
          <w:p>
            <w:pPr>
              <w:tabs>
                <w:tab w:val="left" w:pos="1894"/>
              </w:tabs>
              <w:autoSpaceDE w:val="0"/>
              <w:autoSpaceDN w:val="0"/>
              <w:adjustRightInd w:val="0"/>
              <w:spacing w:line="320" w:lineRule="exact"/>
              <w:jc w:val="center"/>
              <w:rPr>
                <w:rFonts w:ascii="Times New Roman" w:hAnsi="Times New Roman" w:eastAsia="方正仿宋简体"/>
                <w:kern w:val="0"/>
                <w:sz w:val="18"/>
                <w:szCs w:val="18"/>
              </w:rPr>
            </w:pPr>
          </w:p>
        </w:tc>
        <w:tc>
          <w:tcPr>
            <w:tcW w:w="235" w:type="pct"/>
            <w:tcBorders>
              <w:top w:val="single" w:color="auto" w:sz="4" w:space="0"/>
              <w:left w:val="single" w:color="auto" w:sz="4" w:space="0"/>
              <w:bottom w:val="single" w:color="auto" w:sz="4" w:space="0"/>
              <w:right w:val="single" w:color="auto" w:sz="4" w:space="0"/>
            </w:tcBorders>
            <w:vAlign w:val="center"/>
          </w:tcPr>
          <w:p>
            <w:pPr>
              <w:tabs>
                <w:tab w:val="left" w:pos="1894"/>
              </w:tabs>
              <w:autoSpaceDE w:val="0"/>
              <w:autoSpaceDN w:val="0"/>
              <w:adjustRightInd w:val="0"/>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98" w:type="pct"/>
            <w:vMerge w:val="continue"/>
            <w:tcBorders>
              <w:left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autoSpaceDE w:val="0"/>
              <w:autoSpaceDN w:val="0"/>
              <w:adjustRightInd w:val="0"/>
              <w:spacing w:line="320" w:lineRule="exac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方正仿宋简体"/>
                <w:kern w:val="0"/>
                <w:sz w:val="18"/>
                <w:szCs w:val="18"/>
              </w:rPr>
            </w:pPr>
            <w:r>
              <w:rPr>
                <w:rFonts w:ascii="Times New Roman" w:hAnsi="Times New Roman" w:eastAsia="方正仿宋简体"/>
                <w:kern w:val="0"/>
                <w:sz w:val="18"/>
                <w:szCs w:val="18"/>
              </w:rPr>
              <w:t>高等数学基础</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1</w:t>
            </w:r>
          </w:p>
        </w:tc>
        <w:tc>
          <w:tcPr>
            <w:tcW w:w="44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37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422" w:type="pct"/>
            <w:vMerge w:val="continue"/>
            <w:tcBorders>
              <w:left w:val="single" w:color="auto" w:sz="4" w:space="0"/>
              <w:right w:val="single" w:color="auto" w:sz="4" w:space="0"/>
            </w:tcBorders>
            <w:vAlign w:val="center"/>
          </w:tcPr>
          <w:p>
            <w:pPr>
              <w:tabs>
                <w:tab w:val="left" w:pos="1894"/>
              </w:tabs>
              <w:autoSpaceDE w:val="0"/>
              <w:autoSpaceDN w:val="0"/>
              <w:adjustRightInd w:val="0"/>
              <w:spacing w:line="320" w:lineRule="exact"/>
              <w:jc w:val="center"/>
              <w:rPr>
                <w:rFonts w:ascii="Times New Roman" w:hAnsi="Times New Roman" w:eastAsia="方正仿宋简体"/>
                <w:kern w:val="0"/>
                <w:sz w:val="18"/>
                <w:szCs w:val="18"/>
              </w:rPr>
            </w:pPr>
          </w:p>
        </w:tc>
        <w:tc>
          <w:tcPr>
            <w:tcW w:w="235" w:type="pct"/>
            <w:tcBorders>
              <w:top w:val="single" w:color="auto" w:sz="4" w:space="0"/>
              <w:left w:val="single" w:color="auto" w:sz="4" w:space="0"/>
              <w:bottom w:val="single" w:color="auto" w:sz="4" w:space="0"/>
              <w:right w:val="single" w:color="auto" w:sz="4" w:space="0"/>
            </w:tcBorders>
            <w:vAlign w:val="center"/>
          </w:tcPr>
          <w:p>
            <w:pPr>
              <w:tabs>
                <w:tab w:val="left" w:pos="1894"/>
              </w:tabs>
              <w:autoSpaceDE w:val="0"/>
              <w:autoSpaceDN w:val="0"/>
              <w:adjustRightInd w:val="0"/>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98" w:type="pct"/>
            <w:vMerge w:val="continue"/>
            <w:tcBorders>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autoSpaceDE w:val="0"/>
              <w:autoSpaceDN w:val="0"/>
              <w:adjustRightInd w:val="0"/>
              <w:spacing w:line="320" w:lineRule="exac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imes New Roman" w:hAnsi="Times New Roman" w:eastAsia="方正仿宋简体"/>
                <w:kern w:val="0"/>
                <w:sz w:val="18"/>
                <w:szCs w:val="18"/>
              </w:rPr>
            </w:pPr>
            <w:r>
              <w:rPr>
                <w:rFonts w:ascii="Times New Roman" w:hAnsi="Times New Roman" w:eastAsia="方正仿宋简体"/>
                <w:kern w:val="0"/>
                <w:sz w:val="18"/>
                <w:szCs w:val="18"/>
              </w:rPr>
              <w:t>英语I（1）</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1</w:t>
            </w:r>
          </w:p>
        </w:tc>
        <w:tc>
          <w:tcPr>
            <w:tcW w:w="44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37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422" w:type="pct"/>
            <w:vMerge w:val="continue"/>
            <w:tcBorders>
              <w:left w:val="single" w:color="auto" w:sz="4" w:space="0"/>
              <w:right w:val="single" w:color="auto" w:sz="4" w:space="0"/>
            </w:tcBorders>
            <w:vAlign w:val="center"/>
          </w:tcPr>
          <w:p>
            <w:pPr>
              <w:tabs>
                <w:tab w:val="left" w:pos="1894"/>
              </w:tabs>
              <w:autoSpaceDE w:val="0"/>
              <w:autoSpaceDN w:val="0"/>
              <w:adjustRightInd w:val="0"/>
              <w:spacing w:line="320" w:lineRule="exact"/>
              <w:jc w:val="center"/>
              <w:rPr>
                <w:rFonts w:ascii="Times New Roman" w:hAnsi="Times New Roman" w:eastAsia="方正仿宋简体"/>
                <w:kern w:val="0"/>
                <w:sz w:val="18"/>
                <w:szCs w:val="18"/>
              </w:rPr>
            </w:pPr>
          </w:p>
        </w:tc>
        <w:tc>
          <w:tcPr>
            <w:tcW w:w="235" w:type="pct"/>
            <w:tcBorders>
              <w:top w:val="single" w:color="auto" w:sz="4" w:space="0"/>
              <w:left w:val="single" w:color="auto" w:sz="4" w:space="0"/>
              <w:bottom w:val="single" w:color="auto" w:sz="4" w:space="0"/>
              <w:right w:val="single" w:color="auto" w:sz="4" w:space="0"/>
            </w:tcBorders>
            <w:vAlign w:val="center"/>
          </w:tcPr>
          <w:p>
            <w:pPr>
              <w:tabs>
                <w:tab w:val="left" w:pos="1894"/>
              </w:tabs>
              <w:autoSpaceDE w:val="0"/>
              <w:autoSpaceDN w:val="0"/>
              <w:adjustRightInd w:val="0"/>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ascii="Times New Roman" w:hAnsi="Times New Roman" w:eastAsia="汉鼎简仿宋"/>
                <w:kern w:val="0"/>
                <w:sz w:val="18"/>
                <w:szCs w:val="18"/>
              </w:rPr>
              <w:t>4</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autoSpaceDE w:val="0"/>
              <w:autoSpaceDN w:val="0"/>
              <w:adjustRightInd w:val="0"/>
              <w:spacing w:line="320" w:lineRule="exac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eastAsia="方正仿宋简体"/>
                <w:kern w:val="0"/>
                <w:sz w:val="18"/>
                <w:szCs w:val="18"/>
              </w:rPr>
            </w:pPr>
            <w:r>
              <w:rPr>
                <w:rFonts w:ascii="Times New Roman" w:hAnsi="Times New Roman" w:eastAsia="方正仿宋简体"/>
                <w:kern w:val="0"/>
                <w:sz w:val="18"/>
                <w:szCs w:val="18"/>
              </w:rPr>
              <w:t>机械制图</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5</w:t>
            </w: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1</w:t>
            </w:r>
          </w:p>
        </w:tc>
        <w:tc>
          <w:tcPr>
            <w:tcW w:w="44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37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422" w:type="pct"/>
            <w:vMerge w:val="continue"/>
            <w:tcBorders>
              <w:left w:val="single" w:color="auto" w:sz="4" w:space="0"/>
              <w:right w:val="single" w:color="auto" w:sz="4" w:space="0"/>
            </w:tcBorders>
            <w:vAlign w:val="center"/>
          </w:tcPr>
          <w:p>
            <w:pPr>
              <w:tabs>
                <w:tab w:val="left" w:pos="1894"/>
              </w:tabs>
              <w:autoSpaceDE w:val="0"/>
              <w:autoSpaceDN w:val="0"/>
              <w:adjustRightInd w:val="0"/>
              <w:spacing w:line="320" w:lineRule="exact"/>
              <w:jc w:val="center"/>
              <w:rPr>
                <w:rFonts w:ascii="Times New Roman" w:hAnsi="Times New Roman" w:eastAsia="方正仿宋简体"/>
                <w:kern w:val="0"/>
                <w:sz w:val="18"/>
                <w:szCs w:val="18"/>
              </w:rPr>
            </w:pPr>
          </w:p>
        </w:tc>
        <w:tc>
          <w:tcPr>
            <w:tcW w:w="235" w:type="pct"/>
            <w:tcBorders>
              <w:top w:val="single" w:color="auto" w:sz="4" w:space="0"/>
              <w:left w:val="single" w:color="auto" w:sz="4" w:space="0"/>
              <w:bottom w:val="single" w:color="auto" w:sz="4" w:space="0"/>
              <w:right w:val="single" w:color="auto" w:sz="4" w:space="0"/>
            </w:tcBorders>
          </w:tcPr>
          <w:p>
            <w:pPr>
              <w:widowControl/>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ascii="Times New Roman" w:hAnsi="Times New Roman" w:eastAsia="汉鼎简仿宋"/>
                <w:kern w:val="0"/>
                <w:sz w:val="18"/>
                <w:szCs w:val="18"/>
              </w:rPr>
              <w:t>5</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widowControl/>
              <w:jc w:val="lef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eastAsia="方正仿宋简体"/>
                <w:kern w:val="0"/>
                <w:sz w:val="18"/>
                <w:szCs w:val="18"/>
              </w:rPr>
            </w:pPr>
            <w:r>
              <w:rPr>
                <w:rFonts w:ascii="Times New Roman" w:hAnsi="Times New Roman" w:eastAsia="方正仿宋简体"/>
                <w:kern w:val="0"/>
                <w:sz w:val="18"/>
                <w:szCs w:val="18"/>
              </w:rPr>
              <w:t>煤矿地质</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1</w:t>
            </w:r>
          </w:p>
        </w:tc>
        <w:tc>
          <w:tcPr>
            <w:tcW w:w="44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37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422" w:type="pct"/>
            <w:vMerge w:val="continue"/>
            <w:tcBorders>
              <w:left w:val="single" w:color="auto" w:sz="4" w:space="0"/>
              <w:right w:val="single" w:color="auto" w:sz="4" w:space="0"/>
            </w:tcBorders>
            <w:vAlign w:val="center"/>
          </w:tcPr>
          <w:p>
            <w:pPr>
              <w:tabs>
                <w:tab w:val="left" w:pos="1894"/>
              </w:tabs>
              <w:autoSpaceDE w:val="0"/>
              <w:autoSpaceDN w:val="0"/>
              <w:adjustRightInd w:val="0"/>
              <w:spacing w:line="320" w:lineRule="exact"/>
              <w:jc w:val="center"/>
              <w:rPr>
                <w:rFonts w:ascii="Times New Roman" w:hAnsi="Times New Roman" w:eastAsia="方正仿宋简体"/>
                <w:kern w:val="0"/>
                <w:sz w:val="18"/>
                <w:szCs w:val="18"/>
              </w:rPr>
            </w:pPr>
          </w:p>
        </w:tc>
        <w:tc>
          <w:tcPr>
            <w:tcW w:w="235" w:type="pct"/>
            <w:tcBorders>
              <w:top w:val="single" w:color="auto" w:sz="4" w:space="0"/>
              <w:left w:val="single" w:color="auto" w:sz="4" w:space="0"/>
              <w:bottom w:val="single" w:color="auto" w:sz="4" w:space="0"/>
              <w:right w:val="single" w:color="auto" w:sz="4" w:space="0"/>
            </w:tcBorders>
          </w:tcPr>
          <w:p>
            <w:pPr>
              <w:widowControl/>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ascii="Times New Roman" w:hAnsi="Times New Roman" w:eastAsia="汉鼎简仿宋"/>
                <w:kern w:val="0"/>
                <w:sz w:val="18"/>
                <w:szCs w:val="18"/>
              </w:rPr>
              <w:t>6</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widowControl/>
              <w:jc w:val="lef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textAlignment w:val="center"/>
              <w:rPr>
                <w:rFonts w:ascii="Times New Roman" w:hAnsi="Times New Roman" w:eastAsia="方正仿宋简体"/>
                <w:kern w:val="0"/>
                <w:sz w:val="18"/>
                <w:szCs w:val="18"/>
              </w:rPr>
            </w:pPr>
            <w:r>
              <w:rPr>
                <w:rFonts w:ascii="Times New Roman" w:hAnsi="Times New Roman" w:eastAsia="方正仿宋简体"/>
                <w:kern w:val="0"/>
                <w:sz w:val="18"/>
                <w:szCs w:val="18"/>
              </w:rPr>
              <w:t>矿井测量</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2</w:t>
            </w:r>
          </w:p>
        </w:tc>
        <w:tc>
          <w:tcPr>
            <w:tcW w:w="441"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37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沿用</w:t>
            </w:r>
          </w:p>
        </w:tc>
        <w:tc>
          <w:tcPr>
            <w:tcW w:w="422" w:type="pct"/>
            <w:vMerge w:val="continue"/>
            <w:tcBorders>
              <w:left w:val="single" w:color="auto" w:sz="4" w:space="0"/>
              <w:bottom w:val="single" w:color="auto" w:sz="4" w:space="0"/>
              <w:right w:val="single" w:color="auto" w:sz="4" w:space="0"/>
            </w:tcBorders>
            <w:vAlign w:val="center"/>
          </w:tcPr>
          <w:p>
            <w:pPr>
              <w:tabs>
                <w:tab w:val="left" w:pos="1894"/>
              </w:tabs>
              <w:autoSpaceDE w:val="0"/>
              <w:autoSpaceDN w:val="0"/>
              <w:adjustRightInd w:val="0"/>
              <w:spacing w:line="320" w:lineRule="exact"/>
              <w:jc w:val="center"/>
              <w:rPr>
                <w:rFonts w:ascii="Times New Roman" w:hAnsi="Times New Roman" w:eastAsia="方正仿宋简体"/>
                <w:kern w:val="0"/>
                <w:sz w:val="18"/>
                <w:szCs w:val="18"/>
              </w:rPr>
            </w:pPr>
          </w:p>
        </w:tc>
        <w:tc>
          <w:tcPr>
            <w:tcW w:w="235" w:type="pct"/>
            <w:tcBorders>
              <w:top w:val="single" w:color="auto" w:sz="4" w:space="0"/>
              <w:left w:val="single" w:color="auto" w:sz="4" w:space="0"/>
              <w:bottom w:val="single" w:color="auto" w:sz="4" w:space="0"/>
              <w:right w:val="single" w:color="auto" w:sz="4" w:space="0"/>
            </w:tcBorders>
          </w:tcPr>
          <w:p>
            <w:pPr>
              <w:widowControl/>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hint="eastAsia" w:ascii="Times New Roman" w:hAnsi="Times New Roman" w:eastAsia="汉鼎简仿宋"/>
                <w:kern w:val="0"/>
                <w:sz w:val="18"/>
                <w:szCs w:val="18"/>
              </w:rPr>
              <w:t>7</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widowControl/>
              <w:jc w:val="lef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Times New Roman" w:hAnsi="Times New Roman" w:eastAsia="方正仿宋简体"/>
                <w:kern w:val="0"/>
                <w:sz w:val="18"/>
                <w:szCs w:val="18"/>
              </w:rPr>
            </w:pPr>
            <w:r>
              <w:rPr>
                <w:rFonts w:ascii="Segoe UI Symbol" w:hAnsi="Segoe UI Symbol" w:eastAsia="方正仿宋简体" w:cs="Segoe UI Symbol"/>
                <w:kern w:val="0"/>
                <w:sz w:val="18"/>
                <w:szCs w:val="18"/>
              </w:rPr>
              <w:t>★</w:t>
            </w:r>
            <w:r>
              <w:rPr>
                <w:rFonts w:ascii="Times New Roman" w:hAnsi="Times New Roman" w:eastAsia="方正仿宋简体"/>
                <w:kern w:val="0"/>
                <w:sz w:val="18"/>
                <w:szCs w:val="18"/>
              </w:rPr>
              <w:t>井巷工程（专）</w:t>
            </w:r>
            <w:r>
              <w:rPr>
                <w:rFonts w:hint="eastAsia" w:ascii="宋体" w:hAnsi="宋体" w:cs="宋体"/>
                <w:kern w:val="0"/>
                <w:sz w:val="18"/>
                <w:szCs w:val="18"/>
              </w:rPr>
              <w:t>※</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441"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新建</w:t>
            </w:r>
          </w:p>
        </w:tc>
        <w:tc>
          <w:tcPr>
            <w:tcW w:w="377"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新试卷</w:t>
            </w:r>
          </w:p>
        </w:tc>
        <w:tc>
          <w:tcPr>
            <w:tcW w:w="422" w:type="pct"/>
            <w:vMerge w:val="restart"/>
            <w:tcBorders>
              <w:top w:val="single" w:color="auto" w:sz="4" w:space="0"/>
              <w:left w:val="single" w:color="auto" w:sz="4" w:space="0"/>
              <w:right w:val="single" w:color="auto" w:sz="4" w:space="0"/>
            </w:tcBorders>
            <w:vAlign w:val="center"/>
          </w:tcPr>
          <w:p>
            <w:pPr>
              <w:tabs>
                <w:tab w:val="left" w:pos="1894"/>
              </w:tabs>
              <w:autoSpaceDE w:val="0"/>
              <w:autoSpaceDN w:val="0"/>
              <w:adjustRightInd w:val="0"/>
              <w:spacing w:line="320" w:lineRule="exact"/>
              <w:jc w:val="center"/>
              <w:rPr>
                <w:rFonts w:ascii="Times New Roman" w:hAnsi="Times New Roman" w:eastAsia="方正仿宋简体"/>
                <w:kern w:val="0"/>
                <w:sz w:val="18"/>
                <w:szCs w:val="18"/>
              </w:rPr>
            </w:pPr>
            <w:r>
              <w:rPr>
                <w:rFonts w:hint="eastAsia" w:ascii="Times New Roman" w:hAnsi="Times New Roman" w:eastAsia="方正仿宋简体"/>
                <w:kern w:val="0"/>
                <w:sz w:val="18"/>
                <w:szCs w:val="18"/>
              </w:rPr>
              <w:t>武龙飞</w:t>
            </w:r>
          </w:p>
        </w:tc>
        <w:tc>
          <w:tcPr>
            <w:tcW w:w="235" w:type="pct"/>
            <w:tcBorders>
              <w:top w:val="single" w:color="auto" w:sz="4" w:space="0"/>
              <w:left w:val="single" w:color="auto" w:sz="4" w:space="0"/>
              <w:bottom w:val="single" w:color="auto" w:sz="4" w:space="0"/>
              <w:right w:val="single" w:color="auto" w:sz="4" w:space="0"/>
            </w:tcBorders>
          </w:tcPr>
          <w:p>
            <w:pPr>
              <w:widowControl/>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ascii="Times New Roman" w:hAnsi="Times New Roman" w:eastAsia="汉鼎简仿宋"/>
                <w:kern w:val="0"/>
                <w:sz w:val="18"/>
                <w:szCs w:val="18"/>
              </w:rPr>
              <w:t>8</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widowControl/>
              <w:jc w:val="lef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Times New Roman" w:hAnsi="Times New Roman" w:eastAsia="方正仿宋简体"/>
                <w:kern w:val="0"/>
                <w:sz w:val="18"/>
                <w:szCs w:val="18"/>
              </w:rPr>
            </w:pPr>
            <w:r>
              <w:rPr>
                <w:rFonts w:ascii="Segoe UI Symbol" w:hAnsi="Segoe UI Symbol" w:eastAsia="方正仿宋简体" w:cs="Segoe UI Symbol"/>
                <w:kern w:val="0"/>
                <w:sz w:val="18"/>
                <w:szCs w:val="18"/>
              </w:rPr>
              <w:t>★</w:t>
            </w:r>
            <w:r>
              <w:rPr>
                <w:rFonts w:ascii="Times New Roman" w:hAnsi="Times New Roman" w:eastAsia="方正仿宋简体"/>
                <w:kern w:val="0"/>
                <w:sz w:val="18"/>
                <w:szCs w:val="18"/>
              </w:rPr>
              <w:t>煤矿开采（专）</w:t>
            </w:r>
            <w:r>
              <w:rPr>
                <w:rFonts w:hint="eastAsia" w:ascii="宋体" w:hAnsi="宋体" w:cs="宋体"/>
                <w:kern w:val="0"/>
                <w:sz w:val="18"/>
                <w:szCs w:val="18"/>
              </w:rPr>
              <w:t>※</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hint="eastAsia" w:ascii="Times New Roman" w:hAnsi="Times New Roman" w:eastAsia="方正仿宋简体"/>
                <w:bCs/>
                <w:color w:val="000000"/>
                <w:sz w:val="18"/>
                <w:szCs w:val="18"/>
              </w:rPr>
              <w:t>5</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441"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新建</w:t>
            </w:r>
          </w:p>
        </w:tc>
        <w:tc>
          <w:tcPr>
            <w:tcW w:w="377"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新试卷</w:t>
            </w:r>
          </w:p>
        </w:tc>
        <w:tc>
          <w:tcPr>
            <w:tcW w:w="422" w:type="pct"/>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p>
        </w:tc>
        <w:tc>
          <w:tcPr>
            <w:tcW w:w="235" w:type="pct"/>
            <w:tcBorders>
              <w:top w:val="single" w:color="auto" w:sz="4" w:space="0"/>
              <w:left w:val="single" w:color="auto" w:sz="4" w:space="0"/>
              <w:bottom w:val="single" w:color="auto" w:sz="4" w:space="0"/>
              <w:right w:val="single" w:color="auto" w:sz="4" w:space="0"/>
            </w:tcBorders>
          </w:tcPr>
          <w:p>
            <w:pPr>
              <w:widowControl/>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ascii="Times New Roman" w:hAnsi="Times New Roman" w:eastAsia="汉鼎简仿宋"/>
                <w:kern w:val="0"/>
                <w:sz w:val="18"/>
                <w:szCs w:val="18"/>
              </w:rPr>
              <w:t>9</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widowControl/>
              <w:jc w:val="lef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Times New Roman" w:hAnsi="Times New Roman" w:eastAsia="方正仿宋简体"/>
                <w:kern w:val="0"/>
                <w:sz w:val="18"/>
                <w:szCs w:val="18"/>
              </w:rPr>
            </w:pPr>
            <w:r>
              <w:rPr>
                <w:rFonts w:ascii="Times New Roman" w:hAnsi="Times New Roman" w:eastAsia="方正仿宋简体"/>
                <w:kern w:val="0"/>
                <w:sz w:val="18"/>
                <w:szCs w:val="18"/>
              </w:rPr>
              <w:t>煤矿电工学（专）</w:t>
            </w:r>
            <w:r>
              <w:rPr>
                <w:rFonts w:ascii="Times New Roman" w:hAnsi="Times New Roman" w:eastAsia="方正仿宋简体"/>
                <w:kern w:val="0"/>
                <w:sz w:val="24"/>
                <w:szCs w:val="18"/>
              </w:rPr>
              <w:t>□</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441"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新建</w:t>
            </w:r>
          </w:p>
        </w:tc>
        <w:tc>
          <w:tcPr>
            <w:tcW w:w="377"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新试卷</w:t>
            </w:r>
          </w:p>
        </w:tc>
        <w:tc>
          <w:tcPr>
            <w:tcW w:w="422" w:type="pct"/>
            <w:vMerge w:val="restart"/>
            <w:tcBorders>
              <w:top w:val="single" w:color="auto" w:sz="4" w:space="0"/>
              <w:left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hint="eastAsia" w:ascii="Times New Roman" w:hAnsi="Times New Roman" w:eastAsia="方正仿宋简体"/>
                <w:kern w:val="0"/>
                <w:sz w:val="18"/>
                <w:szCs w:val="18"/>
              </w:rPr>
              <w:t>铁旭初</w:t>
            </w:r>
          </w:p>
        </w:tc>
        <w:tc>
          <w:tcPr>
            <w:tcW w:w="235" w:type="pct"/>
            <w:tcBorders>
              <w:top w:val="single" w:color="auto" w:sz="4" w:space="0"/>
              <w:left w:val="single" w:color="auto" w:sz="4" w:space="0"/>
              <w:bottom w:val="single" w:color="auto" w:sz="4" w:space="0"/>
              <w:right w:val="single" w:color="auto" w:sz="4" w:space="0"/>
            </w:tcBorders>
          </w:tcPr>
          <w:p>
            <w:pPr>
              <w:widowControl/>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ascii="Times New Roman" w:hAnsi="Times New Roman" w:eastAsia="汉鼎简仿宋"/>
                <w:kern w:val="0"/>
                <w:sz w:val="18"/>
                <w:szCs w:val="18"/>
              </w:rPr>
              <w:t>10</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spacing w:line="300" w:lineRule="exact"/>
              <w:jc w:val="lef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Times New Roman" w:hAnsi="Times New Roman" w:eastAsia="方正仿宋简体"/>
                <w:kern w:val="0"/>
                <w:sz w:val="18"/>
                <w:szCs w:val="18"/>
              </w:rPr>
            </w:pPr>
            <w:r>
              <w:rPr>
                <w:rFonts w:ascii="Segoe UI Symbol" w:hAnsi="Segoe UI Symbol" w:eastAsia="方正仿宋简体" w:cs="Segoe UI Symbol"/>
                <w:kern w:val="0"/>
                <w:sz w:val="18"/>
                <w:szCs w:val="18"/>
              </w:rPr>
              <w:t>★</w:t>
            </w:r>
            <w:r>
              <w:rPr>
                <w:rFonts w:ascii="Times New Roman" w:hAnsi="Times New Roman" w:eastAsia="方正仿宋简体"/>
                <w:kern w:val="0"/>
                <w:sz w:val="18"/>
                <w:szCs w:val="18"/>
              </w:rPr>
              <w:t>矿山压力与岩层控制（专）</w:t>
            </w:r>
            <w:r>
              <w:rPr>
                <w:rFonts w:hint="eastAsia" w:ascii="宋体" w:hAnsi="宋体" w:cs="宋体"/>
                <w:kern w:val="0"/>
                <w:sz w:val="18"/>
                <w:szCs w:val="18"/>
              </w:rPr>
              <w:t>※</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441"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新建</w:t>
            </w:r>
          </w:p>
        </w:tc>
        <w:tc>
          <w:tcPr>
            <w:tcW w:w="377"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新试卷</w:t>
            </w:r>
          </w:p>
        </w:tc>
        <w:tc>
          <w:tcPr>
            <w:tcW w:w="422" w:type="pct"/>
            <w:vMerge w:val="continue"/>
            <w:tcBorders>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p>
        </w:tc>
        <w:tc>
          <w:tcPr>
            <w:tcW w:w="235" w:type="pct"/>
            <w:tcBorders>
              <w:top w:val="single" w:color="auto" w:sz="4" w:space="0"/>
              <w:left w:val="single" w:color="auto" w:sz="4" w:space="0"/>
              <w:bottom w:val="single" w:color="auto" w:sz="4" w:space="0"/>
              <w:right w:val="single" w:color="auto" w:sz="4" w:space="0"/>
            </w:tcBorders>
          </w:tcPr>
          <w:p>
            <w:pPr>
              <w:widowControl/>
              <w:spacing w:line="30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ind w:firstLine="90" w:firstLineChars="50"/>
              <w:rPr>
                <w:rFonts w:ascii="Times New Roman" w:hAnsi="Times New Roman" w:eastAsia="汉鼎简仿宋"/>
                <w:kern w:val="0"/>
                <w:sz w:val="18"/>
                <w:szCs w:val="18"/>
              </w:rPr>
            </w:pPr>
            <w:r>
              <w:rPr>
                <w:rFonts w:ascii="Times New Roman" w:hAnsi="Times New Roman" w:eastAsia="汉鼎简仿宋"/>
                <w:kern w:val="0"/>
                <w:sz w:val="18"/>
                <w:szCs w:val="18"/>
              </w:rPr>
              <w:t>11</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jc w:val="lef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Times New Roman" w:hAnsi="Times New Roman" w:eastAsia="方正仿宋简体"/>
                <w:kern w:val="0"/>
                <w:sz w:val="18"/>
                <w:szCs w:val="18"/>
              </w:rPr>
            </w:pPr>
            <w:r>
              <w:rPr>
                <w:rFonts w:ascii="Times New Roman" w:hAnsi="Times New Roman" w:eastAsia="方正仿宋简体"/>
                <w:kern w:val="0"/>
                <w:sz w:val="18"/>
                <w:szCs w:val="18"/>
              </w:rPr>
              <w:t>采掘机械（专）</w:t>
            </w:r>
            <w:r>
              <w:rPr>
                <w:rFonts w:ascii="Times New Roman" w:hAnsi="Times New Roman" w:eastAsia="方正仿宋简体"/>
                <w:kern w:val="0"/>
                <w:sz w:val="24"/>
                <w:szCs w:val="18"/>
              </w:rPr>
              <w:t>□</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3</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4</w:t>
            </w:r>
          </w:p>
        </w:tc>
        <w:tc>
          <w:tcPr>
            <w:tcW w:w="441"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新建</w:t>
            </w:r>
          </w:p>
        </w:tc>
        <w:tc>
          <w:tcPr>
            <w:tcW w:w="377"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新试卷</w:t>
            </w:r>
          </w:p>
        </w:tc>
        <w:tc>
          <w:tcPr>
            <w:tcW w:w="422" w:type="pct"/>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Times New Roman" w:hAnsi="Times New Roman" w:eastAsia="方正仿宋简体"/>
                <w:kern w:val="0"/>
                <w:sz w:val="18"/>
                <w:szCs w:val="18"/>
              </w:rPr>
            </w:pPr>
            <w:r>
              <w:rPr>
                <w:rFonts w:hint="eastAsia" w:ascii="Times New Roman" w:hAnsi="Times New Roman" w:eastAsia="方正仿宋简体"/>
                <w:kern w:val="0"/>
                <w:sz w:val="18"/>
                <w:szCs w:val="18"/>
              </w:rPr>
              <w:t>吴建华</w:t>
            </w:r>
          </w:p>
        </w:tc>
        <w:tc>
          <w:tcPr>
            <w:tcW w:w="235" w:type="pct"/>
            <w:tcBorders>
              <w:top w:val="single" w:color="auto" w:sz="4" w:space="0"/>
              <w:left w:val="single" w:color="auto" w:sz="4" w:space="0"/>
              <w:bottom w:val="single" w:color="auto" w:sz="4" w:space="0"/>
              <w:right w:val="single" w:color="auto" w:sz="4" w:space="0"/>
            </w:tcBorders>
          </w:tcPr>
          <w:p>
            <w:pPr>
              <w:widowControl/>
              <w:spacing w:line="320" w:lineRule="exact"/>
              <w:rPr>
                <w:rFonts w:ascii="Times New Roman" w:hAnsi="Times New Roman" w:eastAsia="方正仿宋简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98"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20" w:lineRule="exact"/>
              <w:jc w:val="center"/>
              <w:rPr>
                <w:rFonts w:ascii="Times New Roman" w:hAnsi="Times New Roman" w:eastAsia="汉鼎简仿宋"/>
                <w:kern w:val="0"/>
                <w:sz w:val="18"/>
                <w:szCs w:val="18"/>
              </w:rPr>
            </w:pPr>
            <w:r>
              <w:rPr>
                <w:rFonts w:ascii="Times New Roman" w:hAnsi="Times New Roman" w:eastAsia="汉鼎简仿宋"/>
                <w:kern w:val="0"/>
                <w:sz w:val="18"/>
                <w:szCs w:val="18"/>
              </w:rPr>
              <w:t>12</w:t>
            </w:r>
          </w:p>
        </w:tc>
        <w:tc>
          <w:tcPr>
            <w:tcW w:w="293" w:type="pct"/>
            <w:vMerge w:val="continue"/>
            <w:tcBorders>
              <w:left w:val="single" w:color="auto" w:sz="4" w:space="0"/>
              <w:right w:val="single" w:color="auto" w:sz="4" w:space="0"/>
            </w:tcBorders>
            <w:vAlign w:val="center"/>
          </w:tcPr>
          <w:p>
            <w:pPr>
              <w:jc w:val="left"/>
              <w:rPr>
                <w:rFonts w:ascii="Times New Roman" w:hAnsi="Times New Roman" w:eastAsia="汉鼎简仿宋"/>
                <w:kern w:val="0"/>
                <w:position w:val="-2"/>
                <w:sz w:val="18"/>
                <w:szCs w:val="18"/>
              </w:rPr>
            </w:pPr>
          </w:p>
        </w:tc>
        <w:tc>
          <w:tcPr>
            <w:tcW w:w="440" w:type="pct"/>
            <w:vMerge w:val="continue"/>
            <w:tcBorders>
              <w:left w:val="single" w:color="auto" w:sz="4" w:space="0"/>
              <w:right w:val="single" w:color="auto" w:sz="4" w:space="0"/>
            </w:tcBorders>
            <w:vAlign w:val="center"/>
          </w:tcPr>
          <w:p>
            <w:pPr>
              <w:jc w:val="left"/>
              <w:rPr>
                <w:rFonts w:ascii="Times New Roman" w:hAnsi="Times New Roman" w:eastAsia="汉鼎简仿宋"/>
                <w:kern w:val="0"/>
                <w:sz w:val="18"/>
                <w:szCs w:val="18"/>
              </w:rPr>
            </w:pPr>
          </w:p>
        </w:tc>
        <w:tc>
          <w:tcPr>
            <w:tcW w:w="1521" w:type="pct"/>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Times New Roman" w:hAnsi="Times New Roman" w:eastAsia="方正仿宋简体"/>
                <w:kern w:val="0"/>
                <w:sz w:val="18"/>
                <w:szCs w:val="18"/>
              </w:rPr>
            </w:pPr>
            <w:r>
              <w:rPr>
                <w:rFonts w:ascii="Times New Roman" w:hAnsi="Times New Roman" w:eastAsia="方正仿宋简体"/>
                <w:kern w:val="0"/>
                <w:sz w:val="18"/>
                <w:szCs w:val="18"/>
              </w:rPr>
              <w:t>矿井运输提升（专）</w:t>
            </w:r>
            <w:r>
              <w:rPr>
                <w:rFonts w:ascii="Times New Roman" w:hAnsi="Times New Roman" w:eastAsia="方正仿宋简体"/>
                <w:kern w:val="0"/>
                <w:sz w:val="24"/>
                <w:szCs w:val="18"/>
              </w:rPr>
              <w:t>□</w:t>
            </w:r>
          </w:p>
        </w:tc>
        <w:tc>
          <w:tcPr>
            <w:tcW w:w="361"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2</w:t>
            </w:r>
          </w:p>
        </w:tc>
        <w:tc>
          <w:tcPr>
            <w:tcW w:w="612" w:type="pc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textAlignment w:val="center"/>
              <w:rPr>
                <w:rFonts w:ascii="Times New Roman" w:hAnsi="Times New Roman" w:eastAsia="方正仿宋简体"/>
                <w:bCs/>
                <w:color w:val="000000"/>
                <w:sz w:val="18"/>
                <w:szCs w:val="18"/>
              </w:rPr>
            </w:pPr>
            <w:r>
              <w:rPr>
                <w:rFonts w:ascii="Times New Roman" w:hAnsi="Times New Roman" w:eastAsia="方正仿宋简体"/>
                <w:bCs/>
                <w:color w:val="000000"/>
                <w:sz w:val="18"/>
                <w:szCs w:val="18"/>
              </w:rPr>
              <w:t>4</w:t>
            </w:r>
          </w:p>
        </w:tc>
        <w:tc>
          <w:tcPr>
            <w:tcW w:w="441"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新建</w:t>
            </w:r>
          </w:p>
        </w:tc>
        <w:tc>
          <w:tcPr>
            <w:tcW w:w="377"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Times New Roman" w:hAnsi="Times New Roman" w:eastAsia="方正仿宋简体"/>
                <w:kern w:val="0"/>
                <w:sz w:val="18"/>
                <w:szCs w:val="18"/>
              </w:rPr>
            </w:pPr>
            <w:r>
              <w:rPr>
                <w:rFonts w:ascii="Times New Roman" w:hAnsi="Times New Roman" w:eastAsia="方正仿宋简体"/>
                <w:kern w:val="0"/>
                <w:sz w:val="18"/>
                <w:szCs w:val="18"/>
              </w:rPr>
              <w:t>新试卷</w:t>
            </w:r>
          </w:p>
        </w:tc>
        <w:tc>
          <w:tcPr>
            <w:tcW w:w="422" w:type="pct"/>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简体"/>
                <w:kern w:val="0"/>
                <w:sz w:val="18"/>
                <w:szCs w:val="18"/>
              </w:rPr>
            </w:pPr>
          </w:p>
        </w:tc>
        <w:tc>
          <w:tcPr>
            <w:tcW w:w="235" w:type="pct"/>
            <w:tcBorders>
              <w:top w:val="single" w:color="auto" w:sz="4" w:space="0"/>
              <w:left w:val="single" w:color="auto" w:sz="4" w:space="0"/>
              <w:bottom w:val="single" w:color="auto" w:sz="4" w:space="0"/>
              <w:right w:val="single" w:color="auto" w:sz="4" w:space="0"/>
            </w:tcBorders>
          </w:tcPr>
          <w:p>
            <w:pPr>
              <w:widowControl/>
              <w:spacing w:line="320" w:lineRule="exact"/>
              <w:rPr>
                <w:rFonts w:ascii="Times New Roman" w:hAnsi="Times New Roman" w:eastAsia="方正仿宋简体"/>
                <w:kern w:val="0"/>
                <w:sz w:val="18"/>
                <w:szCs w:val="18"/>
              </w:rPr>
            </w:pPr>
          </w:p>
        </w:tc>
      </w:tr>
    </w:tbl>
    <w:p>
      <w:pPr>
        <w:rPr>
          <w:rFonts w:ascii="Times New Roman" w:hAnsi="Times New Roman"/>
        </w:rPr>
      </w:pPr>
    </w:p>
    <w:p>
      <w:pPr>
        <w:rPr>
          <w:rFonts w:ascii="Times New Roman" w:hAnsi="Times New Roman"/>
          <w:b/>
          <w:bCs/>
          <w:sz w:val="24"/>
        </w:rPr>
      </w:pPr>
      <w:r>
        <w:rPr>
          <w:rFonts w:ascii="Times New Roman" w:hAnsi="Times New Roman"/>
          <w:b/>
          <w:bCs/>
          <w:sz w:val="24"/>
        </w:rPr>
        <w:t>说明：</w:t>
      </w:r>
    </w:p>
    <w:p>
      <w:pPr>
        <w:autoSpaceDE w:val="0"/>
        <w:autoSpaceDN w:val="0"/>
        <w:adjustRightInd w:val="0"/>
        <w:spacing w:line="360" w:lineRule="exact"/>
        <w:ind w:firstLine="420" w:firstLineChars="200"/>
        <w:jc w:val="left"/>
        <w:rPr>
          <w:rFonts w:ascii="Times New Roman" w:hAnsi="Times New Roman"/>
        </w:rPr>
      </w:pPr>
      <w:r>
        <w:rPr>
          <w:rFonts w:ascii="Times New Roman" w:hAnsi="Times New Roman"/>
        </w:rPr>
        <w:t>1．</w:t>
      </w:r>
      <w:r>
        <w:rPr>
          <w:rFonts w:hint="eastAsia" w:ascii="宋体" w:hAnsi="宋体" w:cs="宋体"/>
        </w:rPr>
        <w:t>※</w:t>
      </w:r>
      <w:r>
        <w:rPr>
          <w:rFonts w:ascii="Times New Roman" w:hAnsi="Times New Roman"/>
        </w:rPr>
        <w:t>表示本课程是按照采矿方向认证单元做的课程；□ 表示本课程是按照机电方向认证单元做的课程。</w:t>
      </w:r>
    </w:p>
    <w:p>
      <w:pPr>
        <w:autoSpaceDE w:val="0"/>
        <w:autoSpaceDN w:val="0"/>
        <w:adjustRightInd w:val="0"/>
        <w:spacing w:line="360" w:lineRule="exact"/>
        <w:ind w:firstLine="420" w:firstLineChars="200"/>
        <w:jc w:val="left"/>
        <w:rPr>
          <w:rFonts w:ascii="Times New Roman" w:hAnsi="Times New Roman"/>
        </w:rPr>
      </w:pPr>
      <w:r>
        <w:rPr>
          <w:rFonts w:ascii="Times New Roman" w:hAnsi="Times New Roman"/>
        </w:rPr>
        <w:t>2．课程后面的（专）指专科层次课程。</w:t>
      </w:r>
    </w:p>
    <w:p>
      <w:pPr>
        <w:autoSpaceDE w:val="0"/>
        <w:autoSpaceDN w:val="0"/>
        <w:adjustRightInd w:val="0"/>
        <w:spacing w:line="360" w:lineRule="exact"/>
        <w:ind w:firstLine="420" w:firstLineChars="200"/>
        <w:jc w:val="left"/>
        <w:rPr>
          <w:rFonts w:ascii="Times New Roman" w:hAnsi="Times New Roman"/>
        </w:rPr>
      </w:pPr>
      <w:r>
        <w:rPr>
          <w:rFonts w:ascii="Times New Roman" w:hAnsi="Times New Roman"/>
        </w:rPr>
        <w:t>3．带“</w:t>
      </w:r>
      <w:r>
        <w:rPr>
          <w:rFonts w:ascii="Segoe UI Symbol" w:hAnsi="Segoe UI Symbol" w:cs="Segoe UI Symbol"/>
        </w:rPr>
        <w:t>★</w:t>
      </w:r>
      <w:r>
        <w:rPr>
          <w:rFonts w:ascii="Times New Roman" w:hAnsi="Times New Roman"/>
        </w:rPr>
        <w:t>”的课程为证书课程。</w:t>
      </w:r>
    </w:p>
    <w:p>
      <w:pPr>
        <w:autoSpaceDE w:val="0"/>
        <w:autoSpaceDN w:val="0"/>
        <w:adjustRightInd w:val="0"/>
        <w:spacing w:line="360" w:lineRule="exact"/>
        <w:ind w:firstLine="420" w:firstLineChars="200"/>
        <w:jc w:val="left"/>
        <w:rPr>
          <w:rFonts w:ascii="Times New Roman" w:hAnsi="Times New Roman"/>
        </w:rPr>
      </w:pPr>
      <w:r>
        <w:rPr>
          <w:rFonts w:ascii="Times New Roman" w:hAnsi="Times New Roman"/>
        </w:rPr>
        <w:t>4．计算机应用基础、高等数学基础、英语I（1）为三选一课程，课程性质为选修课，一旦选中即为必修课。</w:t>
      </w:r>
    </w:p>
    <w:p>
      <w:pPr>
        <w:autoSpaceDE w:val="0"/>
        <w:autoSpaceDN w:val="0"/>
        <w:adjustRightInd w:val="0"/>
        <w:spacing w:line="360" w:lineRule="exact"/>
        <w:ind w:firstLine="420" w:firstLineChars="200"/>
        <w:jc w:val="left"/>
        <w:rPr>
          <w:rFonts w:ascii="Times New Roman" w:hAnsi="Times New Roman"/>
        </w:rPr>
      </w:pPr>
    </w:p>
    <w:p>
      <w:pPr>
        <w:jc w:val="left"/>
        <w:outlineLvl w:val="0"/>
        <w:rPr>
          <w:rFonts w:ascii="Times New Roman" w:hAnsi="Times New Roman" w:eastAsia="仿宋_GB2312"/>
          <w:b/>
          <w:bCs/>
          <w:sz w:val="30"/>
          <w:szCs w:val="30"/>
        </w:rPr>
      </w:pPr>
      <w:bookmarkStart w:id="91" w:name="_Toc423019136"/>
      <w:r>
        <w:rPr>
          <w:rFonts w:hint="eastAsia" w:ascii="Times New Roman" w:hAnsi="Times New Roman" w:eastAsia="仿宋_GB2312"/>
          <w:b/>
          <w:bCs/>
          <w:sz w:val="30"/>
          <w:szCs w:val="30"/>
        </w:rPr>
        <w:t>附录</w:t>
      </w:r>
      <w:bookmarkEnd w:id="91"/>
    </w:p>
    <w:p>
      <w:pPr>
        <w:jc w:val="left"/>
        <w:outlineLvl w:val="0"/>
        <w:rPr>
          <w:rFonts w:ascii="Times New Roman" w:hAnsi="Times New Roman" w:eastAsia="仿宋_GB2312"/>
          <w:b/>
          <w:bCs/>
          <w:sz w:val="28"/>
          <w:szCs w:val="30"/>
        </w:rPr>
      </w:pPr>
      <w:bookmarkStart w:id="92" w:name="_Toc423019137"/>
      <w:r>
        <w:rPr>
          <w:rFonts w:ascii="Times New Roman" w:hAnsi="Times New Roman" w:eastAsia="仿宋_GB2312"/>
          <w:b/>
          <w:bCs/>
          <w:sz w:val="28"/>
          <w:szCs w:val="30"/>
        </w:rPr>
        <w:t>附件1：</w:t>
      </w:r>
      <w:bookmarkStart w:id="93" w:name="_Toc418757768"/>
      <w:r>
        <w:rPr>
          <w:rFonts w:ascii="Times New Roman" w:hAnsi="Times New Roman" w:eastAsia="仿宋_GB2312"/>
          <w:b/>
          <w:bCs/>
          <w:sz w:val="28"/>
          <w:szCs w:val="30"/>
        </w:rPr>
        <w:t>煤炭远教网会员名单</w:t>
      </w:r>
      <w:bookmarkEnd w:id="92"/>
      <w:bookmarkEnd w:id="93"/>
    </w:p>
    <w:tbl>
      <w:tblPr>
        <w:tblStyle w:val="21"/>
        <w:tblW w:w="0" w:type="auto"/>
        <w:jc w:val="center"/>
        <w:tblLayout w:type="fixed"/>
        <w:tblCellMar>
          <w:top w:w="0" w:type="dxa"/>
          <w:left w:w="108" w:type="dxa"/>
          <w:bottom w:w="0" w:type="dxa"/>
          <w:right w:w="108" w:type="dxa"/>
        </w:tblCellMar>
      </w:tblPr>
      <w:tblGrid>
        <w:gridCol w:w="1548"/>
        <w:gridCol w:w="6301"/>
      </w:tblGrid>
      <w:tr>
        <w:tblPrEx>
          <w:tblCellMar>
            <w:top w:w="0" w:type="dxa"/>
            <w:left w:w="108" w:type="dxa"/>
            <w:bottom w:w="0" w:type="dxa"/>
            <w:right w:w="108" w:type="dxa"/>
          </w:tblCellMar>
        </w:tblPrEx>
        <w:trPr>
          <w:trHeight w:val="369" w:hRule="atLeast"/>
          <w:jc w:val="center"/>
        </w:trPr>
        <w:tc>
          <w:tcPr>
            <w:tcW w:w="1548" w:type="dxa"/>
            <w:tcBorders>
              <w:top w:val="single" w:color="auto" w:sz="8" w:space="0"/>
              <w:left w:val="single" w:color="auto" w:sz="4" w:space="0"/>
              <w:bottom w:val="single" w:color="auto" w:sz="8" w:space="0"/>
              <w:right w:val="single" w:color="auto" w:sz="4" w:space="0"/>
            </w:tcBorders>
            <w:vAlign w:val="center"/>
          </w:tcPr>
          <w:p>
            <w:pPr>
              <w:widowControl/>
              <w:jc w:val="center"/>
              <w:rPr>
                <w:rFonts w:ascii="Times New Roman" w:hAnsi="Times New Roman" w:eastAsia="黑体"/>
                <w:kern w:val="0"/>
                <w:sz w:val="24"/>
                <w:szCs w:val="24"/>
              </w:rPr>
            </w:pPr>
            <w:r>
              <w:rPr>
                <w:rFonts w:ascii="Times New Roman" w:hAnsi="Times New Roman" w:eastAsia="黑体"/>
                <w:kern w:val="0"/>
                <w:sz w:val="24"/>
                <w:szCs w:val="24"/>
              </w:rPr>
              <w:t>序号</w:t>
            </w:r>
          </w:p>
        </w:tc>
        <w:tc>
          <w:tcPr>
            <w:tcW w:w="6301" w:type="dxa"/>
            <w:tcBorders>
              <w:top w:val="single" w:color="auto" w:sz="8" w:space="0"/>
              <w:left w:val="nil"/>
              <w:bottom w:val="single" w:color="auto" w:sz="8" w:space="0"/>
              <w:right w:val="single" w:color="auto" w:sz="8" w:space="0"/>
            </w:tcBorders>
            <w:vAlign w:val="center"/>
          </w:tcPr>
          <w:p>
            <w:pPr>
              <w:widowControl/>
              <w:jc w:val="center"/>
              <w:rPr>
                <w:rFonts w:ascii="Times New Roman" w:hAnsi="Times New Roman" w:eastAsia="黑体"/>
                <w:kern w:val="0"/>
                <w:sz w:val="24"/>
                <w:szCs w:val="24"/>
              </w:rPr>
            </w:pPr>
            <w:r>
              <w:rPr>
                <w:rFonts w:ascii="Times New Roman" w:hAnsi="Times New Roman" w:eastAsia="黑体"/>
                <w:kern w:val="0"/>
                <w:sz w:val="24"/>
                <w:szCs w:val="24"/>
              </w:rPr>
              <w:t>会员企业名称</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w:t>
            </w:r>
          </w:p>
        </w:tc>
        <w:tc>
          <w:tcPr>
            <w:tcW w:w="6301" w:type="dxa"/>
            <w:tcBorders>
              <w:top w:val="single" w:color="auto" w:sz="4" w:space="0"/>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神华神东煤炭集团有限责任公司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神华宁夏煤业集团公司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神华乌海能源有限责任公司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北京京煤集团有限责任公司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北京蕙利尔国际教育科技有限公司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开滦（集团）有限责任公司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7</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冀中能源峰峰集团中澳煤矿安全培训示范中心</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8</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河北省磁县申家庄煤矿</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9</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山西煤炭运销集团有限公司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10</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大同煤矿集团有限责任公司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11</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阳泉煤业（集团）有限责任公司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12</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山西晋城无烟煤矿业集团有限责任公司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13</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山西焦煤西山煤电（集团）有限责任公司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14</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山西焦煤汾西矿业（集团）有限责任公司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15</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山西焦煤霍州煤电（集团）有限责任公司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16</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华晋焦煤有限责任公司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17</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国投大同能源有限责任公司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18</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太原煤炭气化（集团）有限责任公司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19</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山西兰花科技创业股份有限公司伯方煤矿分公司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20</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山西省太原西峪煤矿</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21</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山西省阳城县安全技术培训中心</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22</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国电内蒙古平庄煤业（集团）有限责任公司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23</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鄂尔多斯煤炭技工学校</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24</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辽宁铁法能源有限责任公司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25</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黑龙江龙煤集团双鸭山分公司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26</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徐州矿务集团有限责任公司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27</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淮南矿业（集团）有限责任公司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28</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淮北矿业集团有限责任公司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29</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福能集团福建煤电股份有限公司</w:t>
            </w:r>
          </w:p>
        </w:tc>
      </w:tr>
      <w:tr>
        <w:tblPrEx>
          <w:tblCellMar>
            <w:top w:w="0" w:type="dxa"/>
            <w:left w:w="108" w:type="dxa"/>
            <w:bottom w:w="0" w:type="dxa"/>
            <w:right w:w="108" w:type="dxa"/>
          </w:tblCellMar>
        </w:tblPrEx>
        <w:trPr>
          <w:trHeight w:val="409" w:hRule="atLeast"/>
          <w:jc w:val="center"/>
        </w:trPr>
        <w:tc>
          <w:tcPr>
            <w:tcW w:w="1548" w:type="dxa"/>
            <w:tcBorders>
              <w:top w:val="single" w:color="auto" w:sz="4" w:space="0"/>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30</w:t>
            </w:r>
          </w:p>
        </w:tc>
        <w:tc>
          <w:tcPr>
            <w:tcW w:w="6301" w:type="dxa"/>
            <w:tcBorders>
              <w:top w:val="single" w:color="auto" w:sz="4" w:space="0"/>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江西省煤炭集团公司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31</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山东能源新汶矿业集团有限责任公司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32</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山东能源淄博矿业集团有限责任公司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33</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山东能源肥城矿业集团有限责任公司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34</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兖矿集团有限公司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35</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河南能源化工集团永煤公司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36</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河南能源化工集团焦煤公司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37</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河南能源化工集团鹤煤公司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38</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河南能源化工集团义煤公司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39</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中国平煤神马能源化工集团有限责任公司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40</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郑州煤炭工业（集团）有限责任公司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41</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河南神火集团有限公司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42</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湖南省煤业集团有限责任公司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43</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重庆松藻煤电有限责任公司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44</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重庆天府矿业有限责任公司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45</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重庆南桐矿业有限责任公司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46</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重庆永荣矿业有限责任公司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47</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四川省煤炭产业集团有限公司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48</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四川攀枝花煤业（集团）有限责任公司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49</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四川达竹煤电（集团）有限责任公司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50</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四川华蓥山广能（集团）有限责任公司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51</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四川广旺能源发展（集团）有限责任公司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52</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四川芙蓉集团实业有限责任公司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53</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四川省古叙煤田开发股份有限公司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54</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四川省煤炭产业集团威达公司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55</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盘江煤电（集团）有限责任公司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56</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陕西煤业化工集团有限责任公司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57</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陕西煤业化工集团铜川矿业公司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58</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陕西煤业化工集团韩城矿业公司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59</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陕西煤业化工集团蒲白矿业公司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60</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陕西煤业化工集团澄合矿业公司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61</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陕西煤业化工集团黄陵矿业公司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62</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陕西煤业化工集团彬长矿业公司</w:t>
            </w:r>
          </w:p>
        </w:tc>
      </w:tr>
      <w:tr>
        <w:tblPrEx>
          <w:tblCellMar>
            <w:top w:w="0" w:type="dxa"/>
            <w:left w:w="108" w:type="dxa"/>
            <w:bottom w:w="0" w:type="dxa"/>
            <w:right w:w="108" w:type="dxa"/>
          </w:tblCellMar>
        </w:tblPrEx>
        <w:trPr>
          <w:trHeight w:val="409" w:hRule="atLeast"/>
          <w:jc w:val="center"/>
        </w:trPr>
        <w:tc>
          <w:tcPr>
            <w:tcW w:w="1548" w:type="dxa"/>
            <w:tcBorders>
              <w:top w:val="single" w:color="auto" w:sz="4" w:space="0"/>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63</w:t>
            </w:r>
          </w:p>
        </w:tc>
        <w:tc>
          <w:tcPr>
            <w:tcW w:w="6301" w:type="dxa"/>
            <w:tcBorders>
              <w:top w:val="single" w:color="auto" w:sz="4" w:space="0"/>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陕西煤业化工集团神南产业发展公司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64</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陕西煤业化工集团陕北矿业公司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65</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陕西省红石岩煤矿</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66</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华亭煤业集团有限责任公司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67</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靖远煤业集团有限责任公司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68</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窑街煤电集团有限公司</w:t>
            </w:r>
          </w:p>
        </w:tc>
      </w:tr>
      <w:tr>
        <w:tblPrEx>
          <w:tblCellMar>
            <w:top w:w="0" w:type="dxa"/>
            <w:left w:w="108" w:type="dxa"/>
            <w:bottom w:w="0" w:type="dxa"/>
            <w:right w:w="108" w:type="dxa"/>
          </w:tblCellMar>
        </w:tblPrEx>
        <w:trPr>
          <w:trHeight w:val="409" w:hRule="atLeast"/>
          <w:jc w:val="center"/>
        </w:trPr>
        <w:tc>
          <w:tcPr>
            <w:tcW w:w="1548" w:type="dxa"/>
            <w:tcBorders>
              <w:top w:val="nil"/>
              <w:left w:val="single" w:color="auto" w:sz="4" w:space="0"/>
              <w:bottom w:val="single" w:color="auto" w:sz="4" w:space="0"/>
              <w:right w:val="single" w:color="auto" w:sz="4" w:space="0"/>
            </w:tcBorders>
            <w:vAlign w:val="bottom"/>
          </w:tcPr>
          <w:p>
            <w:pPr>
              <w:widowControl/>
              <w:jc w:val="center"/>
              <w:rPr>
                <w:rFonts w:ascii="Times New Roman" w:hAnsi="Times New Roman"/>
                <w:kern w:val="0"/>
                <w:szCs w:val="21"/>
              </w:rPr>
            </w:pPr>
            <w:r>
              <w:rPr>
                <w:rFonts w:ascii="Times New Roman" w:hAnsi="Times New Roman"/>
                <w:kern w:val="0"/>
                <w:szCs w:val="21"/>
              </w:rPr>
              <w:t>69</w:t>
            </w:r>
          </w:p>
        </w:tc>
        <w:tc>
          <w:tcPr>
            <w:tcW w:w="6301" w:type="dxa"/>
            <w:tcBorders>
              <w:top w:val="nil"/>
              <w:left w:val="nil"/>
              <w:bottom w:val="single" w:color="auto" w:sz="4" w:space="0"/>
              <w:right w:val="single" w:color="auto" w:sz="8" w:space="0"/>
            </w:tcBorders>
            <w:vAlign w:val="bottom"/>
          </w:tcPr>
          <w:p>
            <w:pPr>
              <w:widowControl/>
              <w:jc w:val="left"/>
              <w:rPr>
                <w:rFonts w:ascii="Times New Roman" w:hAnsi="Times New Roman"/>
                <w:kern w:val="0"/>
                <w:szCs w:val="21"/>
              </w:rPr>
            </w:pPr>
            <w:r>
              <w:rPr>
                <w:rFonts w:ascii="Times New Roman" w:hAnsi="Times New Roman"/>
                <w:kern w:val="0"/>
                <w:szCs w:val="21"/>
              </w:rPr>
              <w:t>青海煤业集团有限责任公司</w:t>
            </w:r>
          </w:p>
        </w:tc>
      </w:tr>
    </w:tbl>
    <w:p>
      <w:pPr>
        <w:rPr>
          <w:rFonts w:ascii="Times New Roman" w:hAnsi="Times New Roman" w:eastAsia="仿宋_GB2312"/>
          <w:sz w:val="30"/>
          <w:szCs w:val="30"/>
        </w:rPr>
      </w:pPr>
      <w:r>
        <w:rPr>
          <w:rFonts w:ascii="Times New Roman" w:hAnsi="Times New Roman" w:eastAsia="仿宋_GB2312"/>
          <w:sz w:val="30"/>
          <w:szCs w:val="30"/>
        </w:rPr>
        <w:br w:type="page"/>
      </w:r>
    </w:p>
    <w:p>
      <w:pPr>
        <w:rPr>
          <w:rFonts w:ascii="Times New Roman" w:hAnsi="Times New Roman" w:eastAsia="仿宋_GB2312"/>
          <w:sz w:val="30"/>
          <w:szCs w:val="30"/>
        </w:rPr>
      </w:pPr>
    </w:p>
    <w:p>
      <w:pPr>
        <w:jc w:val="left"/>
        <w:outlineLvl w:val="0"/>
        <w:rPr>
          <w:rFonts w:ascii="Times New Roman" w:hAnsi="Times New Roman" w:eastAsia="仿宋_GB2312"/>
          <w:b/>
          <w:bCs/>
          <w:sz w:val="28"/>
          <w:szCs w:val="28"/>
        </w:rPr>
      </w:pPr>
      <w:bookmarkStart w:id="94" w:name="_Toc423019138"/>
      <w:r>
        <w:rPr>
          <w:rFonts w:ascii="Times New Roman" w:hAnsi="Times New Roman" w:eastAsia="仿宋_GB2312"/>
          <w:b/>
          <w:bCs/>
          <w:sz w:val="28"/>
          <w:szCs w:val="28"/>
        </w:rPr>
        <w:t>附件2：国家开放大学煤炭学院教育指导委员会成员名单</w:t>
      </w:r>
      <w:bookmarkEnd w:id="94"/>
    </w:p>
    <w:p>
      <w:pPr>
        <w:spacing w:afterLines="50"/>
        <w:jc w:val="center"/>
        <w:rPr>
          <w:rFonts w:ascii="Times New Roman" w:hAnsi="Times New Roman"/>
          <w:sz w:val="24"/>
          <w:szCs w:val="24"/>
        </w:rPr>
      </w:pPr>
      <w:r>
        <w:rPr>
          <w:rFonts w:ascii="Times New Roman" w:hAnsi="Times New Roman"/>
          <w:sz w:val="24"/>
          <w:szCs w:val="24"/>
        </w:rPr>
        <w:t>（排名不分先后顺序）</w:t>
      </w:r>
    </w:p>
    <w:p>
      <w:pPr>
        <w:spacing w:line="360" w:lineRule="auto"/>
        <w:ind w:firstLine="360" w:firstLineChars="150"/>
        <w:rPr>
          <w:rFonts w:ascii="Times New Roman" w:hAnsi="Times New Roman"/>
          <w:sz w:val="24"/>
          <w:szCs w:val="24"/>
        </w:rPr>
      </w:pPr>
      <w:r>
        <w:rPr>
          <w:rFonts w:ascii="Times New Roman" w:hAnsi="Times New Roman"/>
          <w:sz w:val="24"/>
          <w:szCs w:val="24"/>
        </w:rPr>
        <w:t>王虹桥中国煤炭工业协会副会长、国家开放大学煤炭学院院长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李增全中国煤炭工业协会培训中心主任、国家开放大学煤炭学院副院长</w:t>
      </w:r>
    </w:p>
    <w:p>
      <w:pPr>
        <w:spacing w:line="360" w:lineRule="auto"/>
        <w:ind w:firstLine="360" w:firstLineChars="150"/>
        <w:rPr>
          <w:rFonts w:ascii="Times New Roman" w:hAnsi="Times New Roman"/>
          <w:sz w:val="24"/>
          <w:szCs w:val="24"/>
        </w:rPr>
      </w:pPr>
      <w:r>
        <w:rPr>
          <w:rFonts w:ascii="Times New Roman" w:hAnsi="Times New Roman"/>
          <w:sz w:val="24"/>
          <w:szCs w:val="24"/>
        </w:rPr>
        <w:t>张宏干煤炭工业职业技能鉴定指导中心主任</w:t>
      </w:r>
    </w:p>
    <w:p>
      <w:pPr>
        <w:spacing w:line="360" w:lineRule="auto"/>
        <w:ind w:firstLine="360" w:firstLineChars="150"/>
        <w:rPr>
          <w:rFonts w:ascii="Times New Roman" w:hAnsi="Times New Roman"/>
          <w:sz w:val="24"/>
          <w:szCs w:val="24"/>
        </w:rPr>
      </w:pPr>
      <w:r>
        <w:rPr>
          <w:rFonts w:ascii="Times New Roman" w:hAnsi="Times New Roman"/>
          <w:sz w:val="24"/>
          <w:szCs w:val="24"/>
        </w:rPr>
        <w:t>王景亮中国煤炭工业协会人事培训部副主任</w:t>
      </w:r>
    </w:p>
    <w:p>
      <w:pPr>
        <w:spacing w:line="360" w:lineRule="auto"/>
        <w:ind w:firstLine="360" w:firstLineChars="150"/>
        <w:rPr>
          <w:rFonts w:ascii="Times New Roman" w:hAnsi="Times New Roman"/>
          <w:sz w:val="24"/>
          <w:szCs w:val="24"/>
        </w:rPr>
      </w:pPr>
      <w:r>
        <w:rPr>
          <w:rFonts w:ascii="Times New Roman" w:hAnsi="Times New Roman"/>
          <w:sz w:val="24"/>
          <w:szCs w:val="24"/>
        </w:rPr>
        <w:t>严涛司法部直属煤矿管理局副局长</w:t>
      </w:r>
    </w:p>
    <w:p>
      <w:pPr>
        <w:spacing w:line="360" w:lineRule="auto"/>
        <w:ind w:firstLine="360" w:firstLineChars="150"/>
        <w:rPr>
          <w:rFonts w:ascii="Times New Roman" w:hAnsi="Times New Roman"/>
          <w:sz w:val="24"/>
          <w:szCs w:val="24"/>
        </w:rPr>
      </w:pPr>
      <w:r>
        <w:rPr>
          <w:rFonts w:ascii="Times New Roman" w:hAnsi="Times New Roman"/>
          <w:sz w:val="24"/>
          <w:szCs w:val="24"/>
        </w:rPr>
        <w:t>杨仁树中国矿业大学（北京）校长</w:t>
      </w:r>
    </w:p>
    <w:p>
      <w:pPr>
        <w:spacing w:line="360" w:lineRule="auto"/>
        <w:ind w:firstLine="360" w:firstLineChars="150"/>
        <w:rPr>
          <w:rFonts w:ascii="Times New Roman" w:hAnsi="Times New Roman"/>
          <w:sz w:val="24"/>
          <w:szCs w:val="24"/>
        </w:rPr>
      </w:pPr>
      <w:r>
        <w:rPr>
          <w:rFonts w:ascii="Times New Roman" w:hAnsi="Times New Roman"/>
          <w:sz w:val="24"/>
          <w:szCs w:val="24"/>
        </w:rPr>
        <w:t>杨庚宇华北科技学院校长</w:t>
      </w:r>
    </w:p>
    <w:p>
      <w:pPr>
        <w:spacing w:line="360" w:lineRule="auto"/>
        <w:ind w:firstLine="360" w:firstLineChars="150"/>
        <w:rPr>
          <w:rFonts w:ascii="Times New Roman" w:hAnsi="Times New Roman"/>
          <w:sz w:val="24"/>
          <w:szCs w:val="24"/>
        </w:rPr>
      </w:pPr>
      <w:r>
        <w:rPr>
          <w:rFonts w:ascii="Times New Roman" w:hAnsi="Times New Roman"/>
          <w:sz w:val="24"/>
          <w:szCs w:val="24"/>
        </w:rPr>
        <w:t>王延吉河北工程大学校长</w:t>
      </w:r>
    </w:p>
    <w:p>
      <w:pPr>
        <w:spacing w:line="360" w:lineRule="auto"/>
        <w:ind w:firstLine="360" w:firstLineChars="150"/>
        <w:rPr>
          <w:rFonts w:ascii="Times New Roman" w:hAnsi="Times New Roman"/>
          <w:sz w:val="24"/>
          <w:szCs w:val="24"/>
        </w:rPr>
      </w:pPr>
      <w:r>
        <w:rPr>
          <w:rFonts w:ascii="Times New Roman" w:hAnsi="Times New Roman"/>
          <w:sz w:val="24"/>
          <w:szCs w:val="24"/>
        </w:rPr>
        <w:t>吕明太原理工大学校长</w:t>
      </w:r>
    </w:p>
    <w:p>
      <w:pPr>
        <w:spacing w:line="360" w:lineRule="auto"/>
        <w:ind w:firstLine="360" w:firstLineChars="150"/>
        <w:rPr>
          <w:rFonts w:ascii="Times New Roman" w:hAnsi="Times New Roman"/>
          <w:sz w:val="24"/>
          <w:szCs w:val="24"/>
        </w:rPr>
      </w:pPr>
      <w:r>
        <w:rPr>
          <w:rFonts w:ascii="Times New Roman" w:hAnsi="Times New Roman"/>
          <w:sz w:val="24"/>
          <w:szCs w:val="24"/>
        </w:rPr>
        <w:t>王继仁辽宁工程技术大学校长</w:t>
      </w:r>
    </w:p>
    <w:p>
      <w:pPr>
        <w:spacing w:line="360" w:lineRule="auto"/>
        <w:ind w:firstLine="360" w:firstLineChars="150"/>
        <w:rPr>
          <w:rFonts w:ascii="Times New Roman" w:hAnsi="Times New Roman"/>
          <w:sz w:val="24"/>
          <w:szCs w:val="24"/>
        </w:rPr>
      </w:pPr>
      <w:r>
        <w:rPr>
          <w:rFonts w:ascii="Times New Roman" w:hAnsi="Times New Roman"/>
          <w:sz w:val="24"/>
          <w:szCs w:val="24"/>
        </w:rPr>
        <w:t>武俊峰黑龙江科技大学校长</w:t>
      </w:r>
    </w:p>
    <w:p>
      <w:pPr>
        <w:spacing w:line="360" w:lineRule="auto"/>
        <w:ind w:firstLine="360" w:firstLineChars="150"/>
        <w:rPr>
          <w:rFonts w:ascii="Times New Roman" w:hAnsi="Times New Roman"/>
          <w:sz w:val="24"/>
          <w:szCs w:val="24"/>
        </w:rPr>
      </w:pPr>
      <w:r>
        <w:rPr>
          <w:rFonts w:ascii="Times New Roman" w:hAnsi="Times New Roman"/>
          <w:sz w:val="24"/>
          <w:szCs w:val="24"/>
        </w:rPr>
        <w:t>葛世荣中国矿业大学校长</w:t>
      </w:r>
    </w:p>
    <w:p>
      <w:pPr>
        <w:spacing w:line="360" w:lineRule="auto"/>
        <w:ind w:firstLine="360" w:firstLineChars="150"/>
        <w:rPr>
          <w:rFonts w:ascii="Times New Roman" w:hAnsi="Times New Roman"/>
          <w:sz w:val="24"/>
          <w:szCs w:val="24"/>
        </w:rPr>
      </w:pPr>
      <w:r>
        <w:rPr>
          <w:rFonts w:ascii="Times New Roman" w:hAnsi="Times New Roman"/>
          <w:sz w:val="24"/>
          <w:szCs w:val="24"/>
        </w:rPr>
        <w:t>赵跃民中国矿业大学副校长</w:t>
      </w:r>
    </w:p>
    <w:p>
      <w:pPr>
        <w:spacing w:line="360" w:lineRule="auto"/>
        <w:ind w:firstLine="360" w:firstLineChars="150"/>
        <w:rPr>
          <w:rFonts w:ascii="Times New Roman" w:hAnsi="Times New Roman"/>
          <w:sz w:val="24"/>
          <w:szCs w:val="24"/>
        </w:rPr>
      </w:pPr>
      <w:r>
        <w:rPr>
          <w:rFonts w:ascii="Times New Roman" w:hAnsi="Times New Roman"/>
          <w:sz w:val="24"/>
          <w:szCs w:val="24"/>
        </w:rPr>
        <w:t>郭永存安徽理工大学校长</w:t>
      </w:r>
    </w:p>
    <w:p>
      <w:pPr>
        <w:spacing w:line="360" w:lineRule="auto"/>
        <w:ind w:firstLine="360" w:firstLineChars="150"/>
        <w:rPr>
          <w:rFonts w:ascii="Times New Roman" w:hAnsi="Times New Roman"/>
          <w:sz w:val="24"/>
          <w:szCs w:val="24"/>
        </w:rPr>
      </w:pPr>
      <w:r>
        <w:rPr>
          <w:rFonts w:ascii="Times New Roman" w:hAnsi="Times New Roman"/>
          <w:sz w:val="24"/>
          <w:szCs w:val="24"/>
        </w:rPr>
        <w:t>任廷琦山东科技大学校长</w:t>
      </w:r>
    </w:p>
    <w:p>
      <w:pPr>
        <w:spacing w:line="360" w:lineRule="auto"/>
        <w:ind w:firstLine="360" w:firstLineChars="150"/>
        <w:rPr>
          <w:rFonts w:ascii="Times New Roman" w:hAnsi="Times New Roman"/>
          <w:sz w:val="24"/>
          <w:szCs w:val="24"/>
        </w:rPr>
      </w:pPr>
      <w:r>
        <w:rPr>
          <w:rFonts w:ascii="Times New Roman" w:hAnsi="Times New Roman"/>
          <w:sz w:val="24"/>
          <w:szCs w:val="24"/>
        </w:rPr>
        <w:t>邹友峰河南理工大学校长</w:t>
      </w:r>
    </w:p>
    <w:p>
      <w:pPr>
        <w:spacing w:line="360" w:lineRule="auto"/>
        <w:ind w:firstLine="360" w:firstLineChars="150"/>
        <w:rPr>
          <w:rFonts w:ascii="Times New Roman" w:hAnsi="Times New Roman"/>
          <w:sz w:val="24"/>
          <w:szCs w:val="24"/>
        </w:rPr>
      </w:pPr>
      <w:r>
        <w:rPr>
          <w:rFonts w:ascii="Times New Roman" w:hAnsi="Times New Roman"/>
          <w:sz w:val="24"/>
          <w:szCs w:val="24"/>
        </w:rPr>
        <w:t>李伯超湖南科技大学校长</w:t>
      </w:r>
    </w:p>
    <w:p>
      <w:pPr>
        <w:spacing w:line="360" w:lineRule="auto"/>
        <w:ind w:firstLine="360" w:firstLineChars="150"/>
        <w:rPr>
          <w:rFonts w:ascii="Times New Roman" w:hAnsi="Times New Roman"/>
          <w:sz w:val="24"/>
          <w:szCs w:val="24"/>
        </w:rPr>
      </w:pPr>
      <w:r>
        <w:rPr>
          <w:rFonts w:ascii="Times New Roman" w:hAnsi="Times New Roman"/>
          <w:sz w:val="24"/>
          <w:szCs w:val="24"/>
        </w:rPr>
        <w:t>杨更社西安科技大学校长</w:t>
      </w:r>
    </w:p>
    <w:p>
      <w:pPr>
        <w:spacing w:line="360" w:lineRule="auto"/>
        <w:ind w:firstLine="360" w:firstLineChars="150"/>
        <w:rPr>
          <w:rFonts w:ascii="Times New Roman" w:hAnsi="Times New Roman"/>
          <w:sz w:val="24"/>
          <w:szCs w:val="24"/>
        </w:rPr>
      </w:pPr>
      <w:r>
        <w:rPr>
          <w:rFonts w:ascii="Times New Roman" w:hAnsi="Times New Roman"/>
          <w:sz w:val="24"/>
          <w:szCs w:val="24"/>
        </w:rPr>
        <w:t>陈建民北京工业职业技术学院院长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张雨良河北能源职业技术学院院长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曹允伟山西煤炭职业技术学院院长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贠创治运城职业技术学院院长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郭建华长治职业技术学院院长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庄绪春黑龙江煤炭职业技术学院院长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葛侃安徽矿业职业技术学院院长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周国良淮南职业技术学院院长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付春生江西工业工程职业技术学院院长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刘军江西应用工程职业学院院长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任文杰平顶山工业职业技术学院院长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易俊重庆工程职业技术学院院长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魏焕成陕西能源职业技术学院院长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时宁国兰州资源环境职业技术学院院长</w:t>
      </w:r>
    </w:p>
    <w:p>
      <w:pPr>
        <w:spacing w:line="360" w:lineRule="auto"/>
        <w:ind w:firstLine="360" w:firstLineChars="150"/>
        <w:rPr>
          <w:rFonts w:ascii="Times New Roman" w:hAnsi="Times New Roman"/>
          <w:sz w:val="24"/>
          <w:szCs w:val="24"/>
        </w:rPr>
      </w:pPr>
      <w:r>
        <w:rPr>
          <w:rFonts w:ascii="Times New Roman" w:hAnsi="Times New Roman"/>
          <w:sz w:val="24"/>
          <w:szCs w:val="24"/>
        </w:rPr>
        <w:t>王澜神华神东煤炭集团有限责任公司副总经理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马金明神华宁夏煤业集团有限责任公司工会主席</w:t>
      </w:r>
    </w:p>
    <w:p>
      <w:pPr>
        <w:spacing w:line="360" w:lineRule="auto"/>
        <w:ind w:firstLine="360" w:firstLineChars="150"/>
        <w:rPr>
          <w:rFonts w:ascii="Times New Roman" w:hAnsi="Times New Roman"/>
          <w:sz w:val="24"/>
          <w:szCs w:val="24"/>
        </w:rPr>
      </w:pPr>
      <w:r>
        <w:rPr>
          <w:rFonts w:ascii="Times New Roman" w:hAnsi="Times New Roman"/>
          <w:sz w:val="24"/>
          <w:szCs w:val="24"/>
        </w:rPr>
        <w:t>任茂宁神华宁夏煤业集团有限责任公司教育培训中心主任</w:t>
      </w:r>
    </w:p>
    <w:p>
      <w:pPr>
        <w:spacing w:line="360" w:lineRule="auto"/>
        <w:ind w:firstLine="360" w:firstLineChars="150"/>
        <w:rPr>
          <w:rFonts w:ascii="Times New Roman" w:hAnsi="Times New Roman"/>
          <w:sz w:val="24"/>
          <w:szCs w:val="24"/>
        </w:rPr>
      </w:pPr>
      <w:r>
        <w:rPr>
          <w:rFonts w:ascii="Times New Roman" w:hAnsi="Times New Roman"/>
          <w:sz w:val="24"/>
          <w:szCs w:val="24"/>
        </w:rPr>
        <w:t>苏荣神华乌海能源有限责任公司职培中心党委书记</w:t>
      </w:r>
    </w:p>
    <w:p>
      <w:pPr>
        <w:spacing w:line="360" w:lineRule="auto"/>
        <w:ind w:firstLine="360" w:firstLineChars="150"/>
        <w:rPr>
          <w:rFonts w:ascii="Times New Roman" w:hAnsi="Times New Roman"/>
          <w:sz w:val="24"/>
          <w:szCs w:val="24"/>
        </w:rPr>
      </w:pPr>
      <w:r>
        <w:rPr>
          <w:rFonts w:ascii="Times New Roman" w:hAnsi="Times New Roman"/>
          <w:sz w:val="24"/>
          <w:szCs w:val="24"/>
        </w:rPr>
        <w:t>周晓东北京京煤集团有限责任公司财务总监</w:t>
      </w:r>
    </w:p>
    <w:p>
      <w:pPr>
        <w:spacing w:line="360" w:lineRule="auto"/>
        <w:ind w:firstLine="360" w:firstLineChars="150"/>
        <w:rPr>
          <w:rFonts w:ascii="Times New Roman" w:hAnsi="Times New Roman"/>
          <w:sz w:val="24"/>
          <w:szCs w:val="24"/>
        </w:rPr>
      </w:pPr>
      <w:r>
        <w:rPr>
          <w:rFonts w:ascii="Times New Roman" w:hAnsi="Times New Roman"/>
          <w:sz w:val="24"/>
          <w:szCs w:val="24"/>
        </w:rPr>
        <w:t>李伟北京浩海创新科技有限公司总裁</w:t>
      </w:r>
    </w:p>
    <w:p>
      <w:pPr>
        <w:spacing w:line="360" w:lineRule="auto"/>
        <w:ind w:firstLine="360" w:firstLineChars="150"/>
        <w:rPr>
          <w:rFonts w:ascii="Times New Roman" w:hAnsi="Times New Roman"/>
          <w:sz w:val="24"/>
          <w:szCs w:val="24"/>
        </w:rPr>
      </w:pPr>
      <w:r>
        <w:rPr>
          <w:rFonts w:ascii="Times New Roman" w:hAnsi="Times New Roman"/>
          <w:sz w:val="24"/>
          <w:szCs w:val="24"/>
        </w:rPr>
        <w:t>裴华开滦（集团）有限责任公司总经理、副董事长、党委副书记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李军河北省磁县申家庄煤矿矿长</w:t>
      </w:r>
    </w:p>
    <w:p>
      <w:pPr>
        <w:spacing w:line="360" w:lineRule="auto"/>
        <w:ind w:firstLine="360" w:firstLineChars="150"/>
        <w:rPr>
          <w:rFonts w:ascii="Times New Roman" w:hAnsi="Times New Roman"/>
          <w:sz w:val="24"/>
          <w:szCs w:val="24"/>
        </w:rPr>
      </w:pPr>
      <w:r>
        <w:rPr>
          <w:rFonts w:ascii="Times New Roman" w:hAnsi="Times New Roman"/>
          <w:sz w:val="24"/>
          <w:szCs w:val="24"/>
        </w:rPr>
        <w:t>李俊龙山西兰花集团公司伯方煤矿矿长</w:t>
      </w:r>
    </w:p>
    <w:p>
      <w:pPr>
        <w:spacing w:line="360" w:lineRule="auto"/>
        <w:ind w:firstLine="360" w:firstLineChars="150"/>
        <w:rPr>
          <w:rFonts w:ascii="Times New Roman" w:hAnsi="Times New Roman"/>
          <w:sz w:val="24"/>
          <w:szCs w:val="24"/>
        </w:rPr>
      </w:pPr>
      <w:r>
        <w:rPr>
          <w:rFonts w:ascii="Times New Roman" w:hAnsi="Times New Roman"/>
          <w:sz w:val="24"/>
          <w:szCs w:val="24"/>
        </w:rPr>
        <w:t>王茂盛山西晋城无烟煤矿业集团有限责任公司副总经理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邓保平山西焦煤集团有限责任公司党委副书记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徐俊明山西焦煤西山煤电集团公司常务副书记</w:t>
      </w:r>
    </w:p>
    <w:p>
      <w:pPr>
        <w:spacing w:line="360" w:lineRule="auto"/>
        <w:ind w:firstLine="360" w:firstLineChars="150"/>
        <w:rPr>
          <w:rFonts w:ascii="Times New Roman" w:hAnsi="Times New Roman"/>
          <w:sz w:val="24"/>
          <w:szCs w:val="24"/>
        </w:rPr>
      </w:pPr>
      <w:r>
        <w:rPr>
          <w:rFonts w:ascii="Times New Roman" w:hAnsi="Times New Roman"/>
          <w:sz w:val="24"/>
          <w:szCs w:val="24"/>
        </w:rPr>
        <w:t>闫吉平山西焦煤汾西矿业（集团）有限责任公司副总经理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靳文虎山西焦煤霍州煤电集团有限责任公司副总经理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刘平山西省煤炭运销集团副总经理兼安监局局长</w:t>
      </w:r>
    </w:p>
    <w:p>
      <w:pPr>
        <w:spacing w:line="360" w:lineRule="auto"/>
        <w:ind w:firstLine="360" w:firstLineChars="150"/>
        <w:rPr>
          <w:rFonts w:ascii="Times New Roman" w:hAnsi="Times New Roman"/>
          <w:sz w:val="24"/>
          <w:szCs w:val="24"/>
        </w:rPr>
      </w:pPr>
      <w:r>
        <w:rPr>
          <w:rFonts w:ascii="Times New Roman" w:hAnsi="Times New Roman"/>
          <w:sz w:val="24"/>
          <w:szCs w:val="24"/>
        </w:rPr>
        <w:t>吴有增山西潞安矿业（集团）有限责任公司副总经理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白英山西阳泉煤业（集团）有限责任公司副董事长、党委副书记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张立富山西兰花集团公司伯方煤矿党委书记</w:t>
      </w:r>
    </w:p>
    <w:p>
      <w:pPr>
        <w:spacing w:line="360" w:lineRule="auto"/>
        <w:ind w:firstLine="360" w:firstLineChars="150"/>
        <w:rPr>
          <w:rFonts w:ascii="Times New Roman" w:hAnsi="Times New Roman"/>
          <w:sz w:val="24"/>
          <w:szCs w:val="24"/>
        </w:rPr>
      </w:pPr>
      <w:r>
        <w:rPr>
          <w:rFonts w:ascii="Times New Roman" w:hAnsi="Times New Roman"/>
          <w:sz w:val="24"/>
          <w:szCs w:val="24"/>
        </w:rPr>
        <w:t>贾兆命山西太原西峪煤矿副矿长</w:t>
      </w:r>
    </w:p>
    <w:p>
      <w:pPr>
        <w:spacing w:line="360" w:lineRule="auto"/>
        <w:ind w:firstLine="360" w:firstLineChars="150"/>
        <w:rPr>
          <w:rFonts w:ascii="Times New Roman" w:hAnsi="Times New Roman"/>
          <w:sz w:val="24"/>
          <w:szCs w:val="24"/>
        </w:rPr>
      </w:pPr>
      <w:r>
        <w:rPr>
          <w:rFonts w:ascii="Times New Roman" w:hAnsi="Times New Roman"/>
          <w:sz w:val="24"/>
          <w:szCs w:val="24"/>
        </w:rPr>
        <w:t>席北明华晋焦煤有限责任公司党委副书记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黄宗萍国投大同能源有限责任公司人力资源部部长</w:t>
      </w:r>
    </w:p>
    <w:p>
      <w:pPr>
        <w:spacing w:line="360" w:lineRule="auto"/>
        <w:ind w:firstLine="360" w:firstLineChars="150"/>
        <w:rPr>
          <w:rFonts w:ascii="Times New Roman" w:hAnsi="Times New Roman"/>
          <w:sz w:val="24"/>
          <w:szCs w:val="24"/>
        </w:rPr>
      </w:pPr>
      <w:r>
        <w:rPr>
          <w:rFonts w:ascii="Times New Roman" w:hAnsi="Times New Roman"/>
          <w:sz w:val="24"/>
          <w:szCs w:val="24"/>
        </w:rPr>
        <w:t>董伟国投大同能源有限责任公司副总经理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陈旭忠大同煤矿集团有限责任公司副总经理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赵林杰太原煤炭气化（集团）有限责任公司副总经济师、人力资源部部长</w:t>
      </w:r>
    </w:p>
    <w:p>
      <w:pPr>
        <w:spacing w:line="360" w:lineRule="auto"/>
        <w:ind w:firstLine="360" w:firstLineChars="150"/>
        <w:rPr>
          <w:rFonts w:ascii="Times New Roman" w:hAnsi="Times New Roman"/>
          <w:sz w:val="24"/>
          <w:szCs w:val="24"/>
        </w:rPr>
      </w:pPr>
      <w:r>
        <w:rPr>
          <w:rFonts w:ascii="Times New Roman" w:hAnsi="Times New Roman"/>
          <w:sz w:val="24"/>
          <w:szCs w:val="24"/>
        </w:rPr>
        <w:t>程国庆太原煤炭气化（集团）有限责任公司培训中心主任</w:t>
      </w:r>
    </w:p>
    <w:p>
      <w:pPr>
        <w:spacing w:line="360" w:lineRule="auto"/>
        <w:ind w:firstLine="360" w:firstLineChars="150"/>
        <w:rPr>
          <w:rFonts w:ascii="Times New Roman" w:hAnsi="Times New Roman"/>
          <w:sz w:val="24"/>
          <w:szCs w:val="24"/>
        </w:rPr>
      </w:pPr>
      <w:r>
        <w:rPr>
          <w:rFonts w:ascii="Times New Roman" w:hAnsi="Times New Roman"/>
          <w:sz w:val="24"/>
          <w:szCs w:val="24"/>
        </w:rPr>
        <w:t>张志坚国电内蒙古平庄煤业（集团）有限责任公司副总经理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白喜鄂尔多斯煤炭技工学校校长</w:t>
      </w:r>
    </w:p>
    <w:p>
      <w:pPr>
        <w:spacing w:line="360" w:lineRule="auto"/>
        <w:ind w:firstLine="360" w:firstLineChars="150"/>
        <w:rPr>
          <w:rFonts w:ascii="Times New Roman" w:hAnsi="Times New Roman"/>
          <w:sz w:val="24"/>
          <w:szCs w:val="24"/>
        </w:rPr>
      </w:pPr>
      <w:r>
        <w:rPr>
          <w:rFonts w:ascii="Times New Roman" w:hAnsi="Times New Roman"/>
          <w:sz w:val="24"/>
          <w:szCs w:val="24"/>
        </w:rPr>
        <w:t>宫世文辽宁铁法能源有限责任公司副总经理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李强黑龙江龙煤集团双山矿业集团有限责任公司副总经理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李正军徐州矿务集团有限公司党委副书记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杨林淮南矿业（集团）有限责任公司副总经理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李伟淮北矿业股份有限公司总经理</w:t>
      </w:r>
    </w:p>
    <w:p>
      <w:pPr>
        <w:spacing w:line="360" w:lineRule="auto"/>
        <w:ind w:firstLine="360" w:firstLineChars="150"/>
        <w:rPr>
          <w:rFonts w:ascii="Times New Roman" w:hAnsi="Times New Roman"/>
          <w:sz w:val="24"/>
          <w:szCs w:val="24"/>
        </w:rPr>
      </w:pPr>
      <w:r>
        <w:rPr>
          <w:rFonts w:ascii="Times New Roman" w:hAnsi="Times New Roman"/>
          <w:sz w:val="24"/>
          <w:szCs w:val="24"/>
        </w:rPr>
        <w:t>聂远勤福建省能源集团有限责任公司人力资源部处长</w:t>
      </w:r>
    </w:p>
    <w:p>
      <w:pPr>
        <w:spacing w:line="360" w:lineRule="auto"/>
        <w:ind w:firstLine="360" w:firstLineChars="150"/>
        <w:rPr>
          <w:rFonts w:ascii="Times New Roman" w:hAnsi="Times New Roman"/>
          <w:sz w:val="24"/>
          <w:szCs w:val="24"/>
        </w:rPr>
      </w:pPr>
      <w:r>
        <w:rPr>
          <w:rFonts w:ascii="Times New Roman" w:hAnsi="Times New Roman"/>
          <w:sz w:val="24"/>
          <w:szCs w:val="24"/>
        </w:rPr>
        <w:t>刘国清江西煤炭产业集团有限公司党委副书记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李良仕江西煤炭产业集团有限公司总经理、党委书记</w:t>
      </w:r>
    </w:p>
    <w:p>
      <w:pPr>
        <w:spacing w:line="360" w:lineRule="auto"/>
        <w:ind w:firstLine="360" w:firstLineChars="150"/>
        <w:rPr>
          <w:rFonts w:ascii="Times New Roman" w:hAnsi="Times New Roman"/>
          <w:sz w:val="24"/>
          <w:szCs w:val="24"/>
        </w:rPr>
      </w:pPr>
      <w:r>
        <w:rPr>
          <w:rFonts w:ascii="Times New Roman" w:hAnsi="Times New Roman"/>
          <w:sz w:val="24"/>
          <w:szCs w:val="24"/>
        </w:rPr>
        <w:t>周峰山东能源新汶矿业集团有限责任公司副总经理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朱立新山东能源肥城矿业集团有限责任公司董事长</w:t>
      </w:r>
    </w:p>
    <w:p>
      <w:pPr>
        <w:spacing w:line="360" w:lineRule="auto"/>
        <w:ind w:firstLine="360" w:firstLineChars="150"/>
        <w:rPr>
          <w:rFonts w:ascii="Times New Roman" w:hAnsi="Times New Roman"/>
          <w:sz w:val="24"/>
          <w:szCs w:val="24"/>
        </w:rPr>
      </w:pPr>
      <w:r>
        <w:rPr>
          <w:rFonts w:ascii="Times New Roman" w:hAnsi="Times New Roman"/>
          <w:sz w:val="24"/>
          <w:szCs w:val="24"/>
        </w:rPr>
        <w:t>赵清珠山东能源淄博矿业集团有限责任公司副总经理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张贤友兖矿集团有限公司副总经理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乔国厚河南能源化工集团有限责任公司总经理</w:t>
      </w:r>
    </w:p>
    <w:p>
      <w:pPr>
        <w:spacing w:line="360" w:lineRule="auto"/>
        <w:ind w:firstLine="360" w:firstLineChars="150"/>
        <w:rPr>
          <w:rFonts w:ascii="Times New Roman" w:hAnsi="Times New Roman"/>
          <w:sz w:val="24"/>
          <w:szCs w:val="24"/>
        </w:rPr>
      </w:pPr>
      <w:r>
        <w:rPr>
          <w:rFonts w:ascii="Times New Roman" w:hAnsi="Times New Roman"/>
          <w:sz w:val="24"/>
          <w:szCs w:val="24"/>
        </w:rPr>
        <w:t>齐明胜河南神火集团有限公司常务副总经理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王珏河南能源化工集团永煤公司安监局局长</w:t>
      </w:r>
    </w:p>
    <w:p>
      <w:pPr>
        <w:spacing w:line="360" w:lineRule="auto"/>
        <w:ind w:firstLine="360" w:firstLineChars="150"/>
        <w:rPr>
          <w:rFonts w:ascii="Times New Roman" w:hAnsi="Times New Roman"/>
          <w:sz w:val="24"/>
          <w:szCs w:val="24"/>
        </w:rPr>
      </w:pPr>
      <w:r>
        <w:rPr>
          <w:rFonts w:ascii="Times New Roman" w:hAnsi="Times New Roman"/>
          <w:sz w:val="24"/>
          <w:szCs w:val="24"/>
        </w:rPr>
        <w:t>申顺更河南能源化工集团有限公司副总经理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张清鹏河南能源化工集团义煤公司纪委书记</w:t>
      </w:r>
    </w:p>
    <w:p>
      <w:pPr>
        <w:spacing w:line="360" w:lineRule="auto"/>
        <w:ind w:firstLine="360" w:firstLineChars="150"/>
        <w:rPr>
          <w:rFonts w:ascii="Times New Roman" w:hAnsi="Times New Roman"/>
          <w:sz w:val="24"/>
          <w:szCs w:val="24"/>
        </w:rPr>
      </w:pPr>
      <w:r>
        <w:rPr>
          <w:rFonts w:ascii="Times New Roman" w:hAnsi="Times New Roman"/>
          <w:sz w:val="24"/>
          <w:szCs w:val="24"/>
        </w:rPr>
        <w:t>范杰河南能源化工集团鹤煤公司安监局局长</w:t>
      </w:r>
    </w:p>
    <w:p>
      <w:pPr>
        <w:spacing w:line="360" w:lineRule="auto"/>
        <w:ind w:firstLine="360" w:firstLineChars="150"/>
        <w:rPr>
          <w:rFonts w:ascii="Times New Roman" w:hAnsi="Times New Roman"/>
          <w:sz w:val="24"/>
          <w:szCs w:val="24"/>
        </w:rPr>
      </w:pPr>
      <w:r>
        <w:rPr>
          <w:rFonts w:ascii="Times New Roman" w:hAnsi="Times New Roman"/>
          <w:sz w:val="24"/>
          <w:szCs w:val="24"/>
        </w:rPr>
        <w:t>董正亮河南能源化工集团焦煤公司总经理</w:t>
      </w:r>
    </w:p>
    <w:p>
      <w:pPr>
        <w:spacing w:line="360" w:lineRule="auto"/>
        <w:ind w:firstLine="360" w:firstLineChars="150"/>
        <w:rPr>
          <w:rFonts w:ascii="Times New Roman" w:hAnsi="Times New Roman"/>
          <w:sz w:val="24"/>
          <w:szCs w:val="24"/>
        </w:rPr>
      </w:pPr>
      <w:r>
        <w:rPr>
          <w:rFonts w:ascii="Times New Roman" w:hAnsi="Times New Roman"/>
          <w:sz w:val="24"/>
          <w:szCs w:val="24"/>
        </w:rPr>
        <w:t>马源中国平煤神马集团能源化工有限公司常务副总经理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李保方郑州煤炭工业（集团）有限责任公司副总经理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姚泽钢湖南省煤业集团有限公司副总经理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李界宏湖南省煤业集团有限公司人力资源部部长</w:t>
      </w:r>
    </w:p>
    <w:p>
      <w:pPr>
        <w:spacing w:line="360" w:lineRule="auto"/>
        <w:ind w:firstLine="360" w:firstLineChars="150"/>
        <w:rPr>
          <w:rFonts w:ascii="Times New Roman" w:hAnsi="Times New Roman"/>
          <w:sz w:val="24"/>
          <w:szCs w:val="24"/>
        </w:rPr>
      </w:pPr>
      <w:r>
        <w:rPr>
          <w:rFonts w:ascii="Times New Roman" w:hAnsi="Times New Roman"/>
          <w:sz w:val="24"/>
          <w:szCs w:val="24"/>
        </w:rPr>
        <w:t>童建良湖南省煤业集团有限公司湘煤大学校长、党委书记</w:t>
      </w:r>
    </w:p>
    <w:p>
      <w:pPr>
        <w:spacing w:line="360" w:lineRule="auto"/>
        <w:ind w:firstLine="360" w:firstLineChars="150"/>
        <w:rPr>
          <w:rFonts w:ascii="Times New Roman" w:hAnsi="Times New Roman"/>
          <w:sz w:val="24"/>
          <w:szCs w:val="24"/>
        </w:rPr>
      </w:pPr>
      <w:r>
        <w:rPr>
          <w:rFonts w:ascii="Times New Roman" w:hAnsi="Times New Roman"/>
          <w:sz w:val="24"/>
          <w:szCs w:val="24"/>
        </w:rPr>
        <w:t>李华清重庆市能源投资集团公司党委书记</w:t>
      </w:r>
    </w:p>
    <w:p>
      <w:pPr>
        <w:spacing w:line="360" w:lineRule="auto"/>
        <w:ind w:firstLine="360" w:firstLineChars="150"/>
        <w:rPr>
          <w:rFonts w:ascii="Times New Roman" w:hAnsi="Times New Roman"/>
          <w:sz w:val="24"/>
          <w:szCs w:val="24"/>
        </w:rPr>
      </w:pPr>
      <w:r>
        <w:rPr>
          <w:rFonts w:ascii="Times New Roman" w:hAnsi="Times New Roman"/>
          <w:sz w:val="24"/>
          <w:szCs w:val="24"/>
        </w:rPr>
        <w:t>龙建明重庆松藻煤电有限责任公司董事长、党委书记</w:t>
      </w:r>
    </w:p>
    <w:p>
      <w:pPr>
        <w:spacing w:line="360" w:lineRule="auto"/>
        <w:ind w:firstLine="360" w:firstLineChars="150"/>
        <w:rPr>
          <w:rFonts w:ascii="Times New Roman" w:hAnsi="Times New Roman"/>
          <w:sz w:val="24"/>
          <w:szCs w:val="24"/>
        </w:rPr>
      </w:pPr>
      <w:r>
        <w:rPr>
          <w:rFonts w:ascii="Times New Roman" w:hAnsi="Times New Roman"/>
          <w:sz w:val="24"/>
          <w:szCs w:val="24"/>
        </w:rPr>
        <w:t>宗学超重庆天府矿业有限责任公司党委副书记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倪明开重庆永荣矿业有限公司党委书记</w:t>
      </w:r>
    </w:p>
    <w:p>
      <w:pPr>
        <w:spacing w:line="360" w:lineRule="auto"/>
        <w:ind w:firstLine="360" w:firstLineChars="150"/>
        <w:rPr>
          <w:rFonts w:ascii="Times New Roman" w:hAnsi="Times New Roman"/>
          <w:sz w:val="24"/>
          <w:szCs w:val="24"/>
        </w:rPr>
      </w:pPr>
      <w:r>
        <w:rPr>
          <w:rFonts w:ascii="Times New Roman" w:hAnsi="Times New Roman"/>
          <w:sz w:val="24"/>
          <w:szCs w:val="24"/>
        </w:rPr>
        <w:t>霍之云重庆南桐矿业有限责任公司党委副书记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于忠四川省煤炭产业集团有限责任公司党委副书记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胡伟四川达竹煤电（集团）有限责任公司人力资源部部长</w:t>
      </w:r>
    </w:p>
    <w:p>
      <w:pPr>
        <w:spacing w:line="360" w:lineRule="auto"/>
        <w:ind w:firstLine="360" w:firstLineChars="150"/>
        <w:rPr>
          <w:rFonts w:ascii="Times New Roman" w:hAnsi="Times New Roman"/>
          <w:sz w:val="24"/>
          <w:szCs w:val="24"/>
        </w:rPr>
      </w:pPr>
      <w:r>
        <w:rPr>
          <w:rFonts w:ascii="Times New Roman" w:hAnsi="Times New Roman"/>
          <w:sz w:val="24"/>
          <w:szCs w:val="24"/>
        </w:rPr>
        <w:t>王明建四川华蓥山广能（集团）有限责任公司党委副书记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谢家鹏四川芙蓉集团实业有限责任公司副总经理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魏有贵四川广旺能源发展（集团）有限责任公司副总经理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郑守全攀枝花煤业(集团)有限责任公司党委副书记</w:t>
      </w:r>
    </w:p>
    <w:p>
      <w:pPr>
        <w:spacing w:line="360" w:lineRule="auto"/>
        <w:ind w:firstLine="360" w:firstLineChars="150"/>
        <w:rPr>
          <w:rFonts w:ascii="Times New Roman" w:hAnsi="Times New Roman"/>
          <w:sz w:val="24"/>
          <w:szCs w:val="24"/>
        </w:rPr>
      </w:pPr>
      <w:r>
        <w:rPr>
          <w:rFonts w:ascii="Times New Roman" w:hAnsi="Times New Roman"/>
          <w:sz w:val="24"/>
          <w:szCs w:val="24"/>
        </w:rPr>
        <w:t>朱周岐陕西煤业化工集团有限责任公司副总经理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王联合陕西陕煤彬长矿业有限公司常务副总经理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刘水利陕西陕煤铜川矿业有限公司副总经理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杜战灵陕西陕煤蒲白矿业公司副总经理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庞军峰陕西陕煤陕北矿业有限公司总经理</w:t>
      </w:r>
    </w:p>
    <w:p>
      <w:pPr>
        <w:spacing w:line="360" w:lineRule="auto"/>
        <w:ind w:firstLine="360" w:firstLineChars="150"/>
        <w:rPr>
          <w:rFonts w:ascii="Times New Roman" w:hAnsi="Times New Roman"/>
          <w:sz w:val="24"/>
          <w:szCs w:val="24"/>
        </w:rPr>
      </w:pPr>
      <w:r>
        <w:rPr>
          <w:rFonts w:ascii="Times New Roman" w:hAnsi="Times New Roman"/>
          <w:sz w:val="24"/>
          <w:szCs w:val="24"/>
        </w:rPr>
        <w:t>屈永利陕西陕煤澄合矿业公司副总经理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高海忠陕西陕煤韩城矿业有限公司人力资源部部长</w:t>
      </w:r>
    </w:p>
    <w:p>
      <w:pPr>
        <w:spacing w:line="360" w:lineRule="auto"/>
        <w:ind w:firstLine="360" w:firstLineChars="150"/>
        <w:rPr>
          <w:rFonts w:ascii="Times New Roman" w:hAnsi="Times New Roman"/>
          <w:sz w:val="24"/>
          <w:szCs w:val="24"/>
        </w:rPr>
      </w:pPr>
      <w:r>
        <w:rPr>
          <w:rFonts w:ascii="Times New Roman" w:hAnsi="Times New Roman"/>
          <w:sz w:val="24"/>
          <w:szCs w:val="24"/>
        </w:rPr>
        <w:t>高生亮陕西省红石岩煤矿安监处处长</w:t>
      </w:r>
    </w:p>
    <w:p>
      <w:pPr>
        <w:spacing w:line="360" w:lineRule="auto"/>
        <w:ind w:firstLine="360" w:firstLineChars="150"/>
        <w:rPr>
          <w:rFonts w:ascii="Times New Roman" w:hAnsi="Times New Roman"/>
          <w:sz w:val="24"/>
          <w:szCs w:val="24"/>
        </w:rPr>
      </w:pPr>
      <w:r>
        <w:rPr>
          <w:rFonts w:ascii="Times New Roman" w:hAnsi="Times New Roman"/>
          <w:sz w:val="24"/>
          <w:szCs w:val="24"/>
        </w:rPr>
        <w:t>梁平陕西陕煤黄陵矿业有限公司副总经理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李晖华亭煤业集团有限责任公司副总经理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李德军靖远煤业集团有限责任公司副总经理</w:t>
      </w:r>
    </w:p>
    <w:p>
      <w:pPr>
        <w:spacing w:line="360" w:lineRule="auto"/>
        <w:ind w:firstLine="360" w:firstLineChars="150"/>
        <w:rPr>
          <w:rFonts w:ascii="Times New Roman" w:hAnsi="Times New Roman"/>
          <w:sz w:val="24"/>
          <w:szCs w:val="24"/>
        </w:rPr>
      </w:pPr>
      <w:r>
        <w:rPr>
          <w:rFonts w:ascii="Times New Roman" w:hAnsi="Times New Roman"/>
          <w:sz w:val="24"/>
          <w:szCs w:val="24"/>
        </w:rPr>
        <w:t>田靖安窑街煤电集团有限公司党委书记</w:t>
      </w:r>
    </w:p>
    <w:p>
      <w:pPr>
        <w:spacing w:line="360" w:lineRule="auto"/>
        <w:ind w:firstLine="360" w:firstLineChars="150"/>
        <w:rPr>
          <w:rFonts w:ascii="Times New Roman" w:hAnsi="Times New Roman"/>
          <w:sz w:val="24"/>
          <w:szCs w:val="24"/>
        </w:rPr>
      </w:pPr>
      <w:r>
        <w:rPr>
          <w:rFonts w:ascii="Times New Roman" w:hAnsi="Times New Roman"/>
          <w:sz w:val="24"/>
          <w:szCs w:val="24"/>
        </w:rPr>
        <w:t>秦红青海省能源发展（集团）有限责任公司党委副书记</w:t>
      </w: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jc w:val="center"/>
        <w:rPr>
          <w:rFonts w:ascii="Times New Roman" w:hAnsi="Times New Roman"/>
        </w:rPr>
      </w:pPr>
    </w:p>
    <w:p>
      <w:pPr>
        <w:rPr>
          <w:rFonts w:ascii="Times New Roman" w:hAnsi="Times New Roman"/>
        </w:rPr>
      </w:pPr>
    </w:p>
    <w:p>
      <w:pPr>
        <w:jc w:val="left"/>
        <w:outlineLvl w:val="0"/>
        <w:rPr>
          <w:rFonts w:ascii="Times New Roman" w:hAnsi="Times New Roman" w:eastAsia="仿宋_GB2312"/>
          <w:b/>
          <w:bCs/>
          <w:sz w:val="28"/>
          <w:szCs w:val="28"/>
        </w:rPr>
      </w:pPr>
      <w:bookmarkStart w:id="95" w:name="_Toc423019139"/>
      <w:r>
        <w:rPr>
          <w:rFonts w:ascii="Times New Roman" w:hAnsi="Times New Roman" w:eastAsia="仿宋_GB2312"/>
          <w:b/>
          <w:bCs/>
          <w:sz w:val="28"/>
          <w:szCs w:val="28"/>
        </w:rPr>
        <w:t>附件3：全国煤炭行业实训基地名单</w:t>
      </w:r>
      <w:bookmarkEnd w:id="95"/>
    </w:p>
    <w:tbl>
      <w:tblPr>
        <w:tblStyle w:val="21"/>
        <w:tblW w:w="8954" w:type="dxa"/>
        <w:tblInd w:w="108" w:type="dxa"/>
        <w:tblLayout w:type="autofit"/>
        <w:tblCellMar>
          <w:top w:w="0" w:type="dxa"/>
          <w:left w:w="108" w:type="dxa"/>
          <w:bottom w:w="0" w:type="dxa"/>
          <w:right w:w="108" w:type="dxa"/>
        </w:tblCellMar>
      </w:tblPr>
      <w:tblGrid>
        <w:gridCol w:w="659"/>
        <w:gridCol w:w="1292"/>
        <w:gridCol w:w="7003"/>
      </w:tblGrid>
      <w:tr>
        <w:tblPrEx>
          <w:tblCellMar>
            <w:top w:w="0" w:type="dxa"/>
            <w:left w:w="108" w:type="dxa"/>
            <w:bottom w:w="0" w:type="dxa"/>
            <w:right w:w="108" w:type="dxa"/>
          </w:tblCellMar>
        </w:tblPrEx>
        <w:trPr>
          <w:trHeight w:val="567" w:hRule="atLeast"/>
        </w:trPr>
        <w:tc>
          <w:tcPr>
            <w:tcW w:w="659" w:type="dxa"/>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序号</w:t>
            </w:r>
          </w:p>
        </w:tc>
        <w:tc>
          <w:tcPr>
            <w:tcW w:w="1292" w:type="dxa"/>
            <w:tcBorders>
              <w:top w:val="single" w:color="auto" w:sz="8"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省、区、市</w:t>
            </w:r>
          </w:p>
        </w:tc>
        <w:tc>
          <w:tcPr>
            <w:tcW w:w="7003" w:type="dxa"/>
            <w:tcBorders>
              <w:top w:val="single" w:color="auto" w:sz="8" w:space="0"/>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承建单位</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神华集团</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内蒙古大雁矿业集团有限责任公司煤炭行业特有工种职业技能鉴定站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2</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神华宁夏煤业集团有限责任公司煤炭行业特有工种职业技能鉴定站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3</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中煤能</w:t>
            </w:r>
          </w:p>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源集团</w:t>
            </w: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大屯煤电（集团）有限责任公司煤炭行业特有工种职业技能鉴定站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中国中煤能源集团有限公司煤炭行业特有工种职业技能鉴定站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中国煤矿机械装备有限责任共公司煤炭行业特有工种职业技能鉴定站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中煤平朔煤业有限责任公司煤炭行业特有工种职业技能鉴定站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7</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中煤第五建设有限公司煤炭行业特有工种职业技能鉴定站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8</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中煤矿山建设集团有限责任公司煤炭行业特有工种职业技能鉴定站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河北省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开滦（集团）有限责任公司煤炭行业特有工种职业技能鉴定站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10</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冀中能源峰峰集团有限公司煤炭行业特有工种职业技能鉴定站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11</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冀中能源股份有限公司煤炭行业特有工种职业技能鉴定站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12</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冀中能源井陉矿业集团有限公司煤炭行业特有工种职业技能鉴定站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13</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冀中能源张家口矿业集团有限公司煤炭行业特有工种职业技能鉴定站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14</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承德兴隆矿业有限责任公司煤炭行业特有工种职业技能鉴定站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15</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冀中能源邯郸矿业集团有限公司煤炭行业特有工种职业技能鉴定站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16</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开滦（集团）蔚州矿业有限公司煤炭行业特有工种职业技能鉴定站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17</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山西省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阳泉煤业集团有限责任公司煤炭行业特有工种职业技能鉴定站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18</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西山煤电（集团）有限责任公司煤炭行业特有工种职业技能鉴定站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19</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山西潞安矿业（集团）有限责任公司煤炭行业特有工种职业技能鉴定站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20</w:t>
            </w:r>
          </w:p>
        </w:tc>
        <w:tc>
          <w:tcPr>
            <w:tcW w:w="12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大同煤矿集团有限责任公司煤炭行业特有工种职业技能鉴定站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21</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山西煤炭职业技术学院煤炭行业特有工种职业技能鉴定站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22</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山西晋城无烟煤矿业集团有限责任公司煤炭行业特有工种职业技能鉴定站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23</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山西汾西矿业集团有限责任公司煤炭行业特有工种职业技能鉴定站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bookmarkStart w:id="96" w:name="RANGE!A25"/>
            <w:r>
              <w:rPr>
                <w:rFonts w:ascii="Times New Roman" w:hAnsi="Times New Roman" w:eastAsia="仿宋_GB2312"/>
                <w:b/>
                <w:bCs/>
                <w:color w:val="000000"/>
                <w:kern w:val="0"/>
              </w:rPr>
              <w:t>24</w:t>
            </w:r>
            <w:bookmarkEnd w:id="96"/>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霍州煤电集团有限责任公司煤炭行业特有工种职业技能鉴定站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bookmarkStart w:id="97" w:name="RANGE!A26"/>
            <w:r>
              <w:rPr>
                <w:rFonts w:ascii="Times New Roman" w:hAnsi="Times New Roman" w:eastAsia="仿宋_GB2312"/>
                <w:b/>
                <w:bCs/>
                <w:color w:val="000000"/>
                <w:kern w:val="0"/>
              </w:rPr>
              <w:t>25</w:t>
            </w:r>
            <w:bookmarkEnd w:id="97"/>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大同市煤炭工业局煤炭行业特有工种职业技能鉴定站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26</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吕梁市煤炭工业局煤炭行业特有工种职业技能鉴定站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27</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长治市煤炭工业局煤炭行业特有工种职业技能鉴定站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28</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晋城市煤炭工业局煤炭行业特有工种职业技能鉴定站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29</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临汾市煤炭工业局煤炭行业特有工种职业技能鉴定站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30</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太原市煤炭工业局煤炭行业特有工种职业技能鉴定站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31</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阳泉市煤炭工业局煤炭行业特有工种职业技能鉴定站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32</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晋中市煤炭工业局煤炭行业特有工种职业技能鉴定站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33</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山西省雁北煤炭工业学校煤炭行业特有工种职业技能鉴定站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bookmarkStart w:id="98" w:name="RANGE!A35"/>
            <w:r>
              <w:rPr>
                <w:rFonts w:ascii="Times New Roman" w:hAnsi="Times New Roman" w:eastAsia="仿宋_GB2312"/>
                <w:b/>
                <w:bCs/>
                <w:color w:val="000000"/>
                <w:kern w:val="0"/>
              </w:rPr>
              <w:t>34</w:t>
            </w:r>
            <w:bookmarkEnd w:id="98"/>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山西省煤炭职业中等专业学校煤炭行业特有工种职业技能鉴定站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35</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太原煤气化（集团）有限责任公司煤炭行业特有工种职业技能鉴定站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36</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朔州市煤炭工业局煤炭行业特有工种职业技能鉴定站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37</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忻州市煤炭工业局煤炭行业特有工种职业技能鉴定站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38</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山西煤炭运销集团有限公司煤炭行业特有工种职业技能鉴定站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39</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内蒙古</w:t>
            </w:r>
          </w:p>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自治区</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平庄煤业（集团）有限责任公司煤炭行业特有工种职业技能鉴定站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40</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内蒙古霍林河露天煤业股份公司煤炭行业特有工种职业技能鉴定站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41</w:t>
            </w:r>
          </w:p>
        </w:tc>
        <w:tc>
          <w:tcPr>
            <w:tcW w:w="12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扎赉诺尔煤业有限责任公司煤炭行业特有工种职业技能鉴定站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42</w:t>
            </w:r>
          </w:p>
        </w:tc>
        <w:tc>
          <w:tcPr>
            <w:tcW w:w="12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华能伊敏煤电有限责任公司煤炭行业特有工种职业技能鉴定站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43</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北方联合电力有限责任公司煤炭行业特有工种职业技能鉴定站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44</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内蒙古煤矿安全培训中心煤炭行业特有工种职业技能鉴定站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45</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辽宁省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抚顺矿业集团有限责任公司煤炭行业特有工种职业技能鉴定站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46</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阜新矿业集团有限责任公司煤炭行业特有工种职业技能鉴定站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47</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铁法煤业（集团）有限责任公司煤炭行业特有工种职业技能鉴定站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48</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北票煤业有限责任公司煤炭行业特有工种职业技能鉴定站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49</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辽宁南票煤电有限公司煤炭行业特有工种职业技能鉴定站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50</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沈阳煤业（集团）有限责任公司煤炭行业特有工种职业技能鉴定站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51</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吉林省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辽源矿业（集团）有限责任公司煤炭行业特有工种职业技能鉴定站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52</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珲春矿业（集团）有限责任公司煤炭行业特有工种职业技能鉴定站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53</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舒兰矿业（集团）有限责任公司煤炭行业特有工种职业技能鉴定站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54</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通化矿业（集团）有限责任公司煤炭行业特有工种职业技能鉴定站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55</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黑龙江省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黑龙江龙煤矿业集团双鸭山分公司煤炭行业特有工种职业技能鉴定站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56</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黑龙江龙煤矿业集团鹤岗分公司煤炭行业特有工种职业技能鉴定站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57</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黑龙江龙煤矿业集团七台河分公司煤炭行业特有工种职业技能鉴定站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58</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黑龙江龙煤矿业集团鸡西分公司煤炭行业特有工种职业技能鉴定站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59</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黑龙江煤炭职业技术学院煤炭行业特有工种职业技能鉴定站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60</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江苏省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徐州矿务集团有限公司煤炭行业特有工种职业技能鉴定站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61</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江苏工贸技师学院煤炭行业特有工种职业技能鉴定站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62</w:t>
            </w:r>
          </w:p>
        </w:tc>
        <w:tc>
          <w:tcPr>
            <w:tcW w:w="12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安徽省</w:t>
            </w:r>
          </w:p>
        </w:tc>
        <w:tc>
          <w:tcPr>
            <w:tcW w:w="7003"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淮北矿业（集团）有限责任公司煤炭行业特有工种职业技能鉴定站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63</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淮南矿业（集团）有限责任公司煤炭行业特有工种职业技能鉴定站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64</w:t>
            </w:r>
          </w:p>
        </w:tc>
        <w:tc>
          <w:tcPr>
            <w:tcW w:w="12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皖北煤电集团有限责任公司煤炭行业特有工种职业技能鉴定站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65</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安徽能源技术学校煤炭行业特有工种职业技能鉴定站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66</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国投新集能源股份有限公司煤炭行业特有工种职业技能鉴定站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67</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江西省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江西煤业集团丰城分公司煤炭行业特有工种职业技能鉴定站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68</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萍乡矿业集团有限责任公司煤炭行业特有工种职业技能鉴定站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69</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中鼎国际工程有限责任公司煤炭行业特有工种职业技能鉴定站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70</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山东省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肥城矿业集团有限责任公司煤炭行业特有工种职业技能鉴定站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71</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淄博矿业集团有限责任公司煤炭行业特有工种职业技能鉴定站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72</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临沂矿业集团有限责任公司煤炭行业特有工种职业技能鉴定站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bookmarkStart w:id="99" w:name="RANGE!A74"/>
            <w:r>
              <w:rPr>
                <w:rFonts w:ascii="Times New Roman" w:hAnsi="Times New Roman" w:eastAsia="仿宋_GB2312"/>
                <w:b/>
                <w:bCs/>
                <w:color w:val="000000"/>
                <w:kern w:val="0"/>
              </w:rPr>
              <w:t>73</w:t>
            </w:r>
            <w:bookmarkEnd w:id="99"/>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新汶矿业集团有限责任公司煤炭行业特有工种职业技能鉴定站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74</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枣庄矿业（集团）有限责任公司煤炭行业特有工种职业技能鉴定站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75</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兖矿集团有限公司煤炭行业特有工种职业技能鉴定站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76</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龙口矿业集团有限公司煤炭行业特有工种职业技能鉴定站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77</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济宁市煤炭局煤炭行业特有工种职业技能鉴定站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78</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枣庄市煤炭工业局煤炭行业特有工种职业技能鉴定站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79</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河南省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中国平煤神马能源化工集团煤炭行业特有工种职业技能鉴定站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80</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焦作煤业（集团）有限责任公司煤炭行业特有工种职业技能鉴定站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81</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义马煤业集团股份有限公司煤炭行业特有工种职业技能鉴定站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82</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鹤壁煤业（集团）有限责任公司煤炭行业特有工种职业技能鉴定站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83</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郑州煤炭工业（集团）煤炭行业特有工种职业技能鉴定站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84</w:t>
            </w:r>
          </w:p>
        </w:tc>
        <w:tc>
          <w:tcPr>
            <w:tcW w:w="12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永城煤电控股集团有限公司煤炭行业特有工种职业技能鉴定站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bookmarkStart w:id="100" w:name="RANGE!A86"/>
            <w:r>
              <w:rPr>
                <w:rFonts w:ascii="Times New Roman" w:hAnsi="Times New Roman" w:eastAsia="仿宋_GB2312"/>
                <w:b/>
                <w:bCs/>
                <w:color w:val="000000"/>
                <w:kern w:val="0"/>
              </w:rPr>
              <w:t>85</w:t>
            </w:r>
            <w:bookmarkEnd w:id="100"/>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平顶山市煤炭工业局煤炭行业特有工种职业技能鉴定站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bookmarkStart w:id="101" w:name="RANGE!A87"/>
            <w:r>
              <w:rPr>
                <w:rFonts w:ascii="Times New Roman" w:hAnsi="Times New Roman" w:eastAsia="仿宋_GB2312"/>
                <w:b/>
                <w:bCs/>
                <w:color w:val="000000"/>
                <w:kern w:val="0"/>
              </w:rPr>
              <w:t>86</w:t>
            </w:r>
            <w:bookmarkEnd w:id="101"/>
          </w:p>
        </w:tc>
        <w:tc>
          <w:tcPr>
            <w:tcW w:w="12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郑州市煤炭管理局煤炭行业特有工种职业技能鉴定站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87</w:t>
            </w:r>
          </w:p>
        </w:tc>
        <w:tc>
          <w:tcPr>
            <w:tcW w:w="12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湖北省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湖北城市职业学校煤炭行业特有工种职业技能鉴定站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88</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湖南省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湖南省煤业集团白沙矿区煤炭行业特有工种职业技能鉴定站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89</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湖南省煤业集团涟邵矿区煤炭行业特有工种职业技能鉴定站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90</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湖南省煤业集团资兴矿区煤炭行业特有工种职业技能鉴定站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91</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湘煤洁净煤股份呢有限公司煤炭行业特有工种职业技能鉴定站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92</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湖南理工职业技术实习工厂煤炭行业特有工种职业技能鉴定站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93</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重庆市</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重庆永荣矿业有限公司煤炭行业特有工种职业技能鉴定站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94</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重庆南桐矿业有限责任公司煤炭行业特有工种职业技能鉴定站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95</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重庆松藻煤电有限责任公司煤炭行业特有工种职业技能鉴定站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96</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重庆科能高级技工学校煤炭行业特有工种职业技能鉴定站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97</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重庆天府矿业集团有限公司煤炭行业特有工种职业技能鉴定站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98</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四川省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攀枝花煤业（集团）有限责任公司煤炭行业特有工种职业技能鉴定站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99</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芙蓉矿务局技工学校煤炭行业特有工种职业技能鉴定站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100</w:t>
            </w:r>
          </w:p>
        </w:tc>
        <w:tc>
          <w:tcPr>
            <w:tcW w:w="12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贵州省</w:t>
            </w: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贵州盘江精煤股份有限公司煤炭行业特有工种职业技能鉴定站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101</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贵州水城矿业（集团）有限责任公司煤炭行业特有工种职业技能鉴定站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102</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六枝工矿（集团）有限责任公司煤炭行业特有工种职业技能鉴定站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103</w:t>
            </w:r>
          </w:p>
        </w:tc>
        <w:tc>
          <w:tcPr>
            <w:tcW w:w="129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b/>
                <w:bCs/>
                <w:color w:val="000000"/>
                <w:kern w:val="0"/>
              </w:rPr>
            </w:pP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林东矿务局技工学校煤炭行业特有工种职业技能鉴定站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104</w:t>
            </w:r>
          </w:p>
        </w:tc>
        <w:tc>
          <w:tcPr>
            <w:tcW w:w="12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云南省</w:t>
            </w:r>
          </w:p>
        </w:tc>
        <w:tc>
          <w:tcPr>
            <w:tcW w:w="7003" w:type="dxa"/>
            <w:tcBorders>
              <w:top w:val="nil"/>
              <w:left w:val="nil"/>
              <w:bottom w:val="single" w:color="auto" w:sz="4"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云南煤矿安全技术中心煤炭行业特有工种职业技能鉴定站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105</w:t>
            </w:r>
          </w:p>
        </w:tc>
        <w:tc>
          <w:tcPr>
            <w:tcW w:w="12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陕西省</w:t>
            </w:r>
          </w:p>
        </w:tc>
        <w:tc>
          <w:tcPr>
            <w:tcW w:w="7003" w:type="dxa"/>
            <w:tcBorders>
              <w:top w:val="nil"/>
              <w:left w:val="nil"/>
              <w:bottom w:val="single" w:color="auto" w:sz="4" w:space="0"/>
              <w:right w:val="single" w:color="auto" w:sz="8" w:space="0"/>
            </w:tcBorders>
            <w:shd w:val="clear" w:color="000000" w:fill="FFFFFF"/>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陕西省煤炭生产安全监督管理局煤炭行业特有工种职业技能鉴定站</w:t>
            </w:r>
          </w:p>
        </w:tc>
      </w:tr>
      <w:tr>
        <w:tblPrEx>
          <w:tblCellMar>
            <w:top w:w="0" w:type="dxa"/>
            <w:left w:w="108" w:type="dxa"/>
            <w:bottom w:w="0" w:type="dxa"/>
            <w:right w:w="108" w:type="dxa"/>
          </w:tblCellMar>
        </w:tblPrEx>
        <w:trPr>
          <w:trHeight w:val="567" w:hRule="atLeast"/>
        </w:trPr>
        <w:tc>
          <w:tcPr>
            <w:tcW w:w="659"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106</w:t>
            </w:r>
          </w:p>
        </w:tc>
        <w:tc>
          <w:tcPr>
            <w:tcW w:w="1292"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b/>
                <w:bCs/>
                <w:color w:val="000000"/>
                <w:kern w:val="0"/>
              </w:rPr>
            </w:pPr>
            <w:r>
              <w:rPr>
                <w:rFonts w:ascii="Times New Roman" w:hAnsi="Times New Roman" w:eastAsia="仿宋_GB2312"/>
                <w:b/>
                <w:bCs/>
                <w:color w:val="000000"/>
                <w:kern w:val="0"/>
              </w:rPr>
              <w:t>中国华电</w:t>
            </w:r>
          </w:p>
        </w:tc>
        <w:tc>
          <w:tcPr>
            <w:tcW w:w="7003" w:type="dxa"/>
            <w:tcBorders>
              <w:top w:val="single" w:color="auto" w:sz="4" w:space="0"/>
              <w:left w:val="nil"/>
              <w:bottom w:val="single" w:color="auto" w:sz="8" w:space="0"/>
              <w:right w:val="single" w:color="auto" w:sz="8" w:space="0"/>
            </w:tcBorders>
            <w:shd w:val="clear" w:color="auto" w:fill="auto"/>
            <w:vAlign w:val="center"/>
          </w:tcPr>
          <w:p>
            <w:pPr>
              <w:widowControl/>
              <w:jc w:val="left"/>
              <w:rPr>
                <w:rFonts w:asciiTheme="minorEastAsia" w:hAnsiTheme="minorEastAsia" w:eastAsiaTheme="minorEastAsia"/>
                <w:color w:val="000000"/>
                <w:kern w:val="0"/>
              </w:rPr>
            </w:pPr>
            <w:r>
              <w:rPr>
                <w:rFonts w:asciiTheme="minorEastAsia" w:hAnsiTheme="minorEastAsia" w:eastAsiaTheme="minorEastAsia"/>
                <w:color w:val="000000"/>
                <w:kern w:val="0"/>
              </w:rPr>
              <w:t>内蒙古蒙泰不连沟煤业有限责任公司煤炭行业特有工种职业技能鉴定站</w:t>
            </w:r>
          </w:p>
        </w:tc>
      </w:tr>
    </w:tbl>
    <w:p>
      <w:pPr>
        <w:jc w:val="left"/>
        <w:outlineLvl w:val="0"/>
        <w:rPr>
          <w:rFonts w:ascii="Times New Roman" w:hAnsi="Times New Roman"/>
        </w:rPr>
      </w:pPr>
      <w:bookmarkStart w:id="102" w:name="_Toc423019140"/>
      <w:r>
        <w:rPr>
          <w:rFonts w:ascii="Times New Roman" w:hAnsi="Times New Roman"/>
        </w:rPr>
        <w:br w:type="page"/>
      </w:r>
    </w:p>
    <w:p>
      <w:pPr>
        <w:jc w:val="left"/>
        <w:outlineLvl w:val="0"/>
        <w:rPr>
          <w:rFonts w:ascii="Times New Roman" w:hAnsi="Times New Roman" w:eastAsia="仿宋_GB2312"/>
          <w:b/>
          <w:bCs/>
          <w:sz w:val="28"/>
          <w:szCs w:val="30"/>
        </w:rPr>
      </w:pPr>
      <w:r>
        <w:rPr>
          <w:rFonts w:ascii="Times New Roman" w:hAnsi="Times New Roman" w:eastAsia="仿宋_GB2312"/>
          <w:b/>
          <w:bCs/>
          <w:sz w:val="28"/>
          <w:szCs w:val="30"/>
        </w:rPr>
        <w:t>附件4：全国煤炭行业技能大师工作室名单</w:t>
      </w:r>
      <w:bookmarkEnd w:id="102"/>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神华宁夏煤业集团有限责任公司张奋工作室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淮北矿业（集团）有限责任公司杨杰讲堂</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开滦(集团)有限责任公司张文市工作室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中国平煤神马能源化工集团有限公司白国周工作室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中煤集团大屯煤电集团有限责任公司吴友良创新工作室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中煤北京煤矿机械有限责任公司张玉群工作室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大同煤矿集团有限责任公司雷雨工作室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山西潞安矿业（集团）有限责任公司王庄煤矿精英技能大师工作室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山东能源淄博矿业集团有限责任公司韩颖首席技师工作室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开滦(集团)有限责任公司白宝增工作室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中国平煤神马能源化工集团有限公司周先锋学习工作站</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河南煤业化工集团永煤公司游弋工作室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河南煤业化工集团中原大化公司李明安焊工技能大师工作室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徐州矿务集团有限公司夏伯党团队学习室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淮北矿业（集团）有限责任公司方国胜培训工作室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山西晋城无烟煤矿业集团有限责任公司张晨光工作室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神华宝日希勒能源有限公司钟志波技能大师工作室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神华神东煤炭集团有限责任公司暴红星机修钳工工作室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神华神东煤炭集团有限责任公司刘战英维修电工工作室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神华神东煤炭集团有限责任公司顾秀花焊工工作室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神华宁夏煤业集团有限责任公司马洪涛技能工作室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中煤张家口煤矿机械有限责任公司张建华数控维修中心创新工作室</w:t>
      </w:r>
    </w:p>
    <w:p>
      <w:pPr>
        <w:numPr>
          <w:ilvl w:val="0"/>
          <w:numId w:val="3"/>
        </w:numPr>
        <w:spacing w:line="520" w:lineRule="exact"/>
        <w:jc w:val="left"/>
        <w:rPr>
          <w:rFonts w:ascii="Times New Roman" w:hAnsi="Times New Roman"/>
          <w:kern w:val="0"/>
          <w:sz w:val="24"/>
          <w:szCs w:val="24"/>
        </w:rPr>
      </w:pPr>
      <w:r>
        <w:rPr>
          <w:rFonts w:ascii="Times New Roman" w:hAnsi="Times New Roman"/>
          <w:spacing w:val="-4"/>
          <w:sz w:val="24"/>
          <w:szCs w:val="24"/>
        </w:rPr>
        <w:t>中煤张家口煤矿机械有限责任公司祁峰数控加工创新工作室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北京</w:t>
      </w:r>
      <w:r>
        <w:rPr>
          <w:rFonts w:ascii="Times New Roman" w:hAnsi="Times New Roman"/>
          <w:sz w:val="24"/>
          <w:szCs w:val="24"/>
        </w:rPr>
        <w:t>京煤集团昊华能源股份有限公司赵军工作室</w:t>
      </w:r>
    </w:p>
    <w:p>
      <w:pPr>
        <w:numPr>
          <w:ilvl w:val="0"/>
          <w:numId w:val="3"/>
        </w:numPr>
        <w:spacing w:line="520" w:lineRule="exact"/>
        <w:jc w:val="left"/>
        <w:rPr>
          <w:rFonts w:ascii="Times New Roman" w:hAnsi="Times New Roman"/>
          <w:kern w:val="0"/>
          <w:sz w:val="24"/>
          <w:szCs w:val="24"/>
        </w:rPr>
      </w:pPr>
      <w:r>
        <w:rPr>
          <w:rFonts w:ascii="Times New Roman" w:hAnsi="Times New Roman"/>
          <w:kern w:val="0"/>
          <w:sz w:val="24"/>
          <w:szCs w:val="24"/>
        </w:rPr>
        <w:t>北京</w:t>
      </w:r>
      <w:r>
        <w:rPr>
          <w:rFonts w:ascii="Times New Roman" w:hAnsi="Times New Roman"/>
          <w:sz w:val="24"/>
          <w:szCs w:val="24"/>
        </w:rPr>
        <w:t>京煤集团昊华能源股份有限公司赵惠民工作室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淮北矿业（集团）有限责任公司扣红卫技能大师工作室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淮北矿业（集团）有限责任公司马利培训工作室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淮南矿业（集团）有限责任公司潘一矿矿井通风与安全技能大师工作室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国投新集能源股份有限公司口孜东矿综采自动化工作室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开滦(集团)有限责任公司崔志刚技能大师工作室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开滦(集团)有限责任公司刘少辉技能大师工作室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开滦(集团)有限责任公司李玉顺技能大师工作室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开滦(集团)有限责任公司刘赞利技能大师工作室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开滦(集团)有限责任公司李永泉技能大师工作室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开滦(集团)有限责任公司葛绍龙技能大师工作室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开滦(集团)有限责任公司汤宝良技能大师工作室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开滦(集团)有限责任公司吴立忠技能大师工作室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开滦(集团)有限责任公司王春坡技能大师工作室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开滦(集团)有限责任公司杨宝军技能大师工作室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石家庄煤矿机械有限责任公司刘泡林创新工作室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石家庄煤矿机械有限责任公司王立强创新工作室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河南能源化工集团焦煤公司申麦成技能大师工作室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河南能源化工集团中原大化公司高建军技能大师工作室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郑州煤炭工业（集团）有限责任公司</w:t>
      </w:r>
      <w:r>
        <w:rPr>
          <w:rFonts w:ascii="Times New Roman" w:hAnsi="Times New Roman"/>
          <w:kern w:val="0"/>
          <w:sz w:val="24"/>
          <w:szCs w:val="24"/>
        </w:rPr>
        <w:t>刘广坛</w:t>
      </w:r>
      <w:r>
        <w:rPr>
          <w:rFonts w:ascii="Times New Roman" w:hAnsi="Times New Roman"/>
          <w:sz w:val="24"/>
          <w:szCs w:val="24"/>
        </w:rPr>
        <w:t>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郑州煤炭工业（集团）有限责任公司赵国彬大师工作室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郑州煤炭工业（集团）有限责任公司赵文全大师工作室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中国平煤神马能源化工集团有限公司宏图工作室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中国平煤神马能源化工集团有限公司马朝阳学习工作室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中国平煤神马能源化工集团有限公司赵尊华大师工作室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铁法煤业（集团）有限责任公司小康矿矿井通风大师工作室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pacing w:val="-10"/>
          <w:sz w:val="24"/>
          <w:szCs w:val="24"/>
        </w:rPr>
        <w:t>铁法煤业（集团）有限责任公司大兴矿煤矿电气检修大师工作室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内蒙古平庄煤业（集团）有限责任公司赵辉大师工作室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山东能源新汶矿业集团有限责任公司侯志国采区自动化技能大师工作室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pacing w:val="-10"/>
          <w:sz w:val="24"/>
          <w:szCs w:val="24"/>
        </w:rPr>
        <w:t>山东能源新汶矿业集团有限责任公司翟镇煤矿技能大师工作室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山东能源淄博矿业集团有限责任公司王俊首席技师工作室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山东能源临沂矿业集团有限责任公司董强工作室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兖矿集团有限公司潘兴波工作室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兖矿集团有限公司高兴亮工作室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大同煤矿集团有限责任公司前进工作室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山西晋城无烟煤矿业集团有限责任公司牛文兵大师工作室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山西晋城无烟煤矿业集团有限责任公司李鹏飞大师工作室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山西晋城无烟煤矿业集团有限责任公司宋大胖大师工作室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山西晋城无烟煤矿业集团有限责任公司原文瑞大师工作室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山西潞安矿业（集团）有限责任公司常爱军机电教研工作室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山西潞安矿业（集团）有限责任公司王岐林技能大师工作室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pacing w:val="-10"/>
          <w:sz w:val="24"/>
          <w:szCs w:val="24"/>
        </w:rPr>
        <w:t>山西潞安矿业（集团）有限责任公司马俊波机电技能大师工作室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山西潞安矿业（集团）有限责任公司赵占宏技能大师工作室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山西潞安矿业（集团）有限责任公司王文胜技能大师工作室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山西潞安矿业（集团）有限责任公司吕向东综采电气技能大师工作室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pacing w:val="-10"/>
          <w:sz w:val="24"/>
          <w:szCs w:val="24"/>
        </w:rPr>
        <w:t>山西潞安矿业（集团）有限责任公司杨旭彬机电应用创新工作室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阳泉煤业（集团）有限责任公司任海平技能大师工作室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阳泉煤业（集团）有限责任公司温文文技能大师工作室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太重煤机有限公司郭生龙采煤机技能大师工作室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陕西陕煤澄合矿业有限公司张玉和工作室</w:t>
      </w:r>
    </w:p>
    <w:p>
      <w:pPr>
        <w:numPr>
          <w:ilvl w:val="0"/>
          <w:numId w:val="3"/>
        </w:numPr>
        <w:spacing w:line="520" w:lineRule="exact"/>
        <w:jc w:val="left"/>
        <w:rPr>
          <w:rFonts w:ascii="Times New Roman" w:hAnsi="Times New Roman"/>
          <w:kern w:val="0"/>
          <w:sz w:val="24"/>
          <w:szCs w:val="24"/>
        </w:rPr>
      </w:pPr>
      <w:r>
        <w:rPr>
          <w:rFonts w:ascii="Times New Roman" w:hAnsi="Times New Roman"/>
          <w:sz w:val="24"/>
          <w:szCs w:val="24"/>
        </w:rPr>
        <w:t>四川达竹煤电集团有限责任公司左小云工作室</w:t>
      </w:r>
    </w:p>
    <w:p>
      <w:pPr>
        <w:pStyle w:val="36"/>
        <w:spacing w:line="360" w:lineRule="auto"/>
        <w:ind w:left="780" w:firstLine="0" w:firstLineChars="0"/>
        <w:rPr>
          <w:rFonts w:ascii="Times New Roman" w:hAnsi="Times New Roman"/>
          <w:kern w:val="0"/>
          <w:sz w:val="28"/>
          <w:szCs w:val="28"/>
        </w:rPr>
      </w:pPr>
    </w:p>
    <w:p>
      <w:pPr>
        <w:pStyle w:val="36"/>
        <w:spacing w:line="360" w:lineRule="auto"/>
        <w:ind w:left="780" w:firstLine="0" w:firstLineChars="0"/>
        <w:rPr>
          <w:rFonts w:ascii="Times New Roman" w:hAnsi="Times New Roman"/>
          <w:kern w:val="0"/>
          <w:sz w:val="28"/>
          <w:szCs w:val="28"/>
        </w:rPr>
      </w:pPr>
    </w:p>
    <w:p>
      <w:pPr>
        <w:jc w:val="left"/>
        <w:outlineLvl w:val="0"/>
        <w:rPr>
          <w:rFonts w:ascii="Times New Roman" w:hAnsi="Times New Roman" w:eastAsia="仿宋_GB2312"/>
          <w:b/>
          <w:bCs/>
          <w:sz w:val="28"/>
          <w:szCs w:val="30"/>
        </w:rPr>
      </w:pPr>
      <w:bookmarkStart w:id="103" w:name="_Toc423019141"/>
      <w:r>
        <w:rPr>
          <w:rFonts w:ascii="Times New Roman" w:hAnsi="Times New Roman" w:eastAsia="仿宋_GB2312"/>
          <w:b/>
          <w:bCs/>
          <w:sz w:val="28"/>
          <w:szCs w:val="30"/>
        </w:rPr>
        <w:t>附件</w:t>
      </w:r>
      <w:r>
        <w:rPr>
          <w:rFonts w:hint="eastAsia" w:ascii="Times New Roman" w:hAnsi="Times New Roman" w:eastAsia="仿宋_GB2312"/>
          <w:b/>
          <w:bCs/>
          <w:sz w:val="28"/>
          <w:szCs w:val="30"/>
        </w:rPr>
        <w:t>5</w:t>
      </w:r>
      <w:r>
        <w:rPr>
          <w:rFonts w:ascii="Times New Roman" w:hAnsi="Times New Roman" w:eastAsia="仿宋_GB2312"/>
          <w:b/>
          <w:bCs/>
          <w:sz w:val="28"/>
          <w:szCs w:val="30"/>
        </w:rPr>
        <w:t>：双证课程对应认证单元情况</w:t>
      </w:r>
      <w:bookmarkEnd w:id="103"/>
    </w:p>
    <w:tbl>
      <w:tblPr>
        <w:tblStyle w:val="21"/>
        <w:tblW w:w="864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682"/>
        <w:gridCol w:w="1087"/>
        <w:gridCol w:w="2248"/>
        <w:gridCol w:w="16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3682" w:type="dxa"/>
            <w:vAlign w:val="center"/>
          </w:tcPr>
          <w:p>
            <w:pPr>
              <w:jc w:val="center"/>
              <w:rPr>
                <w:rFonts w:ascii="Times New Roman" w:hAnsi="Times New Roman"/>
                <w:sz w:val="24"/>
              </w:rPr>
            </w:pPr>
            <w:r>
              <w:rPr>
                <w:rFonts w:ascii="Times New Roman" w:hAnsi="Times New Roman"/>
                <w:b/>
                <w:kern w:val="0"/>
                <w:sz w:val="24"/>
              </w:rPr>
              <w:t>双证课程名称</w:t>
            </w:r>
          </w:p>
        </w:tc>
        <w:tc>
          <w:tcPr>
            <w:tcW w:w="1087" w:type="dxa"/>
            <w:vAlign w:val="center"/>
          </w:tcPr>
          <w:p>
            <w:pPr>
              <w:jc w:val="center"/>
              <w:rPr>
                <w:rFonts w:ascii="Times New Roman" w:hAnsi="Times New Roman"/>
                <w:sz w:val="24"/>
              </w:rPr>
            </w:pPr>
            <w:r>
              <w:rPr>
                <w:rFonts w:ascii="Times New Roman" w:hAnsi="Times New Roman"/>
                <w:b/>
                <w:bCs/>
                <w:sz w:val="24"/>
              </w:rPr>
              <w:t>学分</w:t>
            </w:r>
          </w:p>
        </w:tc>
        <w:tc>
          <w:tcPr>
            <w:tcW w:w="2248" w:type="dxa"/>
            <w:vAlign w:val="center"/>
          </w:tcPr>
          <w:p>
            <w:pPr>
              <w:jc w:val="center"/>
              <w:rPr>
                <w:rFonts w:ascii="Times New Roman" w:hAnsi="Times New Roman"/>
                <w:b/>
                <w:kern w:val="0"/>
                <w:sz w:val="24"/>
              </w:rPr>
            </w:pPr>
            <w:r>
              <w:rPr>
                <w:rFonts w:ascii="Times New Roman" w:hAnsi="Times New Roman"/>
                <w:b/>
                <w:kern w:val="0"/>
                <w:sz w:val="24"/>
              </w:rPr>
              <w:t>对应认证单元</w:t>
            </w:r>
          </w:p>
          <w:p>
            <w:pPr>
              <w:jc w:val="center"/>
              <w:rPr>
                <w:rFonts w:ascii="Times New Roman" w:hAnsi="Times New Roman"/>
                <w:sz w:val="24"/>
              </w:rPr>
            </w:pPr>
            <w:r>
              <w:rPr>
                <w:rFonts w:ascii="Times New Roman" w:hAnsi="Times New Roman"/>
                <w:b/>
                <w:kern w:val="0"/>
                <w:sz w:val="24"/>
              </w:rPr>
              <w:t>编码</w:t>
            </w:r>
          </w:p>
        </w:tc>
        <w:tc>
          <w:tcPr>
            <w:tcW w:w="1630" w:type="dxa"/>
            <w:vAlign w:val="center"/>
          </w:tcPr>
          <w:p>
            <w:pPr>
              <w:jc w:val="center"/>
              <w:rPr>
                <w:rFonts w:ascii="Times New Roman" w:hAnsi="Times New Roman"/>
                <w:b/>
                <w:kern w:val="0"/>
                <w:sz w:val="24"/>
              </w:rPr>
            </w:pPr>
            <w:r>
              <w:rPr>
                <w:rFonts w:ascii="Times New Roman" w:hAnsi="Times New Roman"/>
                <w:b/>
                <w:kern w:val="0"/>
                <w:sz w:val="24"/>
              </w:rPr>
              <w:t>对应认证单元学分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3682" w:type="dxa"/>
            <w:vMerge w:val="restart"/>
            <w:vAlign w:val="center"/>
          </w:tcPr>
          <w:p>
            <w:pPr>
              <w:spacing w:beforeLines="30" w:afterLines="30"/>
              <w:jc w:val="center"/>
              <w:rPr>
                <w:rFonts w:ascii="Times New Roman" w:hAnsi="Times New Roman"/>
                <w:szCs w:val="21"/>
              </w:rPr>
            </w:pPr>
            <w:r>
              <w:rPr>
                <w:rFonts w:ascii="Times New Roman" w:hAnsi="Times New Roman"/>
                <w:szCs w:val="21"/>
              </w:rPr>
              <w:t>煤矿开采（专）</w:t>
            </w:r>
          </w:p>
        </w:tc>
        <w:tc>
          <w:tcPr>
            <w:tcW w:w="1087" w:type="dxa"/>
            <w:vMerge w:val="restart"/>
            <w:vAlign w:val="center"/>
          </w:tcPr>
          <w:p>
            <w:pPr>
              <w:spacing w:beforeLines="30" w:afterLines="30"/>
              <w:jc w:val="center"/>
              <w:rPr>
                <w:rFonts w:ascii="Times New Roman" w:hAnsi="Times New Roman"/>
                <w:szCs w:val="21"/>
              </w:rPr>
            </w:pPr>
            <w:r>
              <w:rPr>
                <w:rFonts w:hint="eastAsia" w:ascii="Times New Roman" w:hAnsi="Times New Roman"/>
                <w:szCs w:val="21"/>
              </w:rPr>
              <w:t>5</w:t>
            </w:r>
          </w:p>
        </w:tc>
        <w:tc>
          <w:tcPr>
            <w:tcW w:w="2248" w:type="dxa"/>
            <w:vAlign w:val="center"/>
          </w:tcPr>
          <w:p>
            <w:pPr>
              <w:spacing w:line="400" w:lineRule="exact"/>
              <w:ind w:left="-105" w:leftChars="-50" w:right="-105" w:rightChars="-50"/>
              <w:jc w:val="center"/>
              <w:rPr>
                <w:rFonts w:ascii="Times New Roman" w:hAnsi="Times New Roman"/>
                <w:szCs w:val="21"/>
              </w:rPr>
            </w:pPr>
            <w:r>
              <w:rPr>
                <w:rFonts w:ascii="Times New Roman" w:hAnsi="Times New Roman"/>
                <w:szCs w:val="21"/>
              </w:rPr>
              <w:t>MTCKKC0501A</w:t>
            </w:r>
          </w:p>
        </w:tc>
        <w:tc>
          <w:tcPr>
            <w:tcW w:w="1630" w:type="dxa"/>
            <w:vAlign w:val="center"/>
          </w:tcPr>
          <w:p>
            <w:pPr>
              <w:spacing w:line="400" w:lineRule="exact"/>
              <w:ind w:left="-105" w:leftChars="-50" w:right="-105" w:rightChars="-50"/>
              <w:jc w:val="center"/>
              <w:rPr>
                <w:rFonts w:ascii="Times New Roman" w:hAnsi="Times New Roman"/>
                <w:szCs w:val="21"/>
              </w:rPr>
            </w:pPr>
            <w:r>
              <w:rPr>
                <w:rFonts w:ascii="Times New Roman" w:hAnsi="Times New Roman"/>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3682" w:type="dxa"/>
            <w:vMerge w:val="continue"/>
            <w:vAlign w:val="center"/>
          </w:tcPr>
          <w:p>
            <w:pPr>
              <w:spacing w:beforeLines="30" w:afterLines="30"/>
              <w:jc w:val="center"/>
              <w:rPr>
                <w:rFonts w:ascii="Times New Roman" w:hAnsi="Times New Roman"/>
                <w:szCs w:val="21"/>
              </w:rPr>
            </w:pPr>
          </w:p>
        </w:tc>
        <w:tc>
          <w:tcPr>
            <w:tcW w:w="1087" w:type="dxa"/>
            <w:vMerge w:val="continue"/>
            <w:vAlign w:val="center"/>
          </w:tcPr>
          <w:p>
            <w:pPr>
              <w:spacing w:beforeLines="30" w:afterLines="30"/>
              <w:jc w:val="center"/>
              <w:rPr>
                <w:rFonts w:ascii="Times New Roman" w:hAnsi="Times New Roman"/>
                <w:szCs w:val="21"/>
              </w:rPr>
            </w:pPr>
          </w:p>
        </w:tc>
        <w:tc>
          <w:tcPr>
            <w:tcW w:w="2248" w:type="dxa"/>
            <w:vAlign w:val="center"/>
          </w:tcPr>
          <w:p>
            <w:pPr>
              <w:spacing w:line="400" w:lineRule="exact"/>
              <w:ind w:left="-105" w:leftChars="-50" w:right="-105" w:rightChars="-50"/>
              <w:jc w:val="center"/>
              <w:rPr>
                <w:rFonts w:ascii="Times New Roman" w:hAnsi="Times New Roman"/>
                <w:szCs w:val="21"/>
              </w:rPr>
            </w:pPr>
            <w:r>
              <w:rPr>
                <w:rFonts w:ascii="Times New Roman" w:hAnsi="Times New Roman"/>
                <w:szCs w:val="21"/>
              </w:rPr>
              <w:t xml:space="preserve">MTCKKC0502A </w:t>
            </w:r>
          </w:p>
        </w:tc>
        <w:tc>
          <w:tcPr>
            <w:tcW w:w="1630" w:type="dxa"/>
            <w:vAlign w:val="center"/>
          </w:tcPr>
          <w:p>
            <w:pPr>
              <w:spacing w:line="400" w:lineRule="exact"/>
              <w:ind w:left="-105" w:leftChars="-50" w:right="-105" w:rightChars="-50"/>
              <w:jc w:val="center"/>
              <w:rPr>
                <w:rFonts w:ascii="Times New Roman" w:hAnsi="Times New Roman"/>
                <w:szCs w:val="21"/>
              </w:rPr>
            </w:pPr>
            <w:r>
              <w:rPr>
                <w:rFonts w:ascii="Times New Roman" w:hAnsi="Times New Roman"/>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3682" w:type="dxa"/>
            <w:vMerge w:val="continue"/>
            <w:vAlign w:val="center"/>
          </w:tcPr>
          <w:p>
            <w:pPr>
              <w:spacing w:beforeLines="30" w:afterLines="30"/>
              <w:jc w:val="center"/>
              <w:rPr>
                <w:rFonts w:ascii="Times New Roman" w:hAnsi="Times New Roman"/>
                <w:szCs w:val="21"/>
              </w:rPr>
            </w:pPr>
          </w:p>
        </w:tc>
        <w:tc>
          <w:tcPr>
            <w:tcW w:w="1087" w:type="dxa"/>
            <w:vMerge w:val="continue"/>
            <w:vAlign w:val="center"/>
          </w:tcPr>
          <w:p>
            <w:pPr>
              <w:spacing w:beforeLines="30" w:afterLines="30"/>
              <w:jc w:val="center"/>
              <w:rPr>
                <w:rFonts w:ascii="Times New Roman" w:hAnsi="Times New Roman"/>
                <w:szCs w:val="21"/>
              </w:rPr>
            </w:pPr>
          </w:p>
        </w:tc>
        <w:tc>
          <w:tcPr>
            <w:tcW w:w="2248" w:type="dxa"/>
            <w:vAlign w:val="center"/>
          </w:tcPr>
          <w:p>
            <w:pPr>
              <w:spacing w:line="400" w:lineRule="exact"/>
              <w:ind w:left="-105" w:leftChars="-50" w:right="-105" w:rightChars="-50"/>
              <w:jc w:val="center"/>
              <w:rPr>
                <w:rFonts w:ascii="Times New Roman" w:hAnsi="Times New Roman"/>
                <w:szCs w:val="21"/>
              </w:rPr>
            </w:pPr>
            <w:r>
              <w:rPr>
                <w:rFonts w:ascii="Times New Roman" w:hAnsi="Times New Roman"/>
                <w:szCs w:val="21"/>
              </w:rPr>
              <w:t>MTCKKC0503A</w:t>
            </w:r>
          </w:p>
        </w:tc>
        <w:tc>
          <w:tcPr>
            <w:tcW w:w="1630" w:type="dxa"/>
            <w:vAlign w:val="center"/>
          </w:tcPr>
          <w:p>
            <w:pPr>
              <w:spacing w:line="400" w:lineRule="exact"/>
              <w:ind w:left="-105" w:leftChars="-50" w:right="-105" w:rightChars="-50"/>
              <w:jc w:val="center"/>
              <w:rPr>
                <w:rFonts w:ascii="Times New Roman" w:hAnsi="Times New Roman"/>
                <w:szCs w:val="21"/>
              </w:rPr>
            </w:pPr>
            <w:r>
              <w:rPr>
                <w:rFonts w:ascii="Times New Roman" w:hAnsi="Times New Roman"/>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3682" w:type="dxa"/>
            <w:vAlign w:val="center"/>
          </w:tcPr>
          <w:p>
            <w:pPr>
              <w:spacing w:beforeLines="30" w:afterLines="30"/>
              <w:jc w:val="center"/>
              <w:rPr>
                <w:rFonts w:ascii="Times New Roman" w:hAnsi="Times New Roman"/>
                <w:szCs w:val="21"/>
              </w:rPr>
            </w:pPr>
            <w:r>
              <w:rPr>
                <w:rFonts w:ascii="Times New Roman" w:hAnsi="Times New Roman"/>
                <w:szCs w:val="21"/>
              </w:rPr>
              <w:t>矿图实训（专）</w:t>
            </w:r>
          </w:p>
        </w:tc>
        <w:tc>
          <w:tcPr>
            <w:tcW w:w="1087" w:type="dxa"/>
            <w:vAlign w:val="center"/>
          </w:tcPr>
          <w:p>
            <w:pPr>
              <w:spacing w:beforeLines="30" w:afterLines="30"/>
              <w:jc w:val="center"/>
              <w:rPr>
                <w:rFonts w:ascii="Times New Roman" w:hAnsi="Times New Roman"/>
                <w:szCs w:val="21"/>
              </w:rPr>
            </w:pPr>
            <w:r>
              <w:rPr>
                <w:rFonts w:ascii="Times New Roman" w:hAnsi="Times New Roman"/>
                <w:szCs w:val="21"/>
              </w:rPr>
              <w:t>1</w:t>
            </w:r>
          </w:p>
        </w:tc>
        <w:tc>
          <w:tcPr>
            <w:tcW w:w="2248"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MTCKKC0504A</w:t>
            </w:r>
          </w:p>
        </w:tc>
        <w:tc>
          <w:tcPr>
            <w:tcW w:w="1630"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3682" w:type="dxa"/>
            <w:vAlign w:val="center"/>
          </w:tcPr>
          <w:p>
            <w:pPr>
              <w:spacing w:beforeLines="30" w:afterLines="30"/>
              <w:jc w:val="center"/>
              <w:rPr>
                <w:rFonts w:ascii="Times New Roman" w:hAnsi="Times New Roman"/>
                <w:szCs w:val="21"/>
              </w:rPr>
            </w:pPr>
            <w:r>
              <w:rPr>
                <w:rFonts w:ascii="Times New Roman" w:hAnsi="Times New Roman"/>
                <w:szCs w:val="21"/>
              </w:rPr>
              <w:t>地质实习（专）</w:t>
            </w:r>
          </w:p>
        </w:tc>
        <w:tc>
          <w:tcPr>
            <w:tcW w:w="1087" w:type="dxa"/>
            <w:vAlign w:val="center"/>
          </w:tcPr>
          <w:p>
            <w:pPr>
              <w:spacing w:beforeLines="30" w:afterLines="30"/>
              <w:jc w:val="center"/>
              <w:rPr>
                <w:rFonts w:ascii="Times New Roman" w:hAnsi="Times New Roman"/>
                <w:szCs w:val="21"/>
              </w:rPr>
            </w:pPr>
            <w:r>
              <w:rPr>
                <w:rFonts w:ascii="Times New Roman" w:hAnsi="Times New Roman"/>
                <w:szCs w:val="21"/>
              </w:rPr>
              <w:t>1</w:t>
            </w:r>
          </w:p>
        </w:tc>
        <w:tc>
          <w:tcPr>
            <w:tcW w:w="2248"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MTCKKC0505A</w:t>
            </w:r>
          </w:p>
        </w:tc>
        <w:tc>
          <w:tcPr>
            <w:tcW w:w="1630"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3682" w:type="dxa"/>
            <w:vMerge w:val="restart"/>
            <w:vAlign w:val="center"/>
          </w:tcPr>
          <w:p>
            <w:pPr>
              <w:spacing w:beforeLines="30" w:afterLines="30"/>
              <w:jc w:val="center"/>
              <w:rPr>
                <w:rFonts w:ascii="Times New Roman" w:hAnsi="Times New Roman"/>
                <w:szCs w:val="21"/>
              </w:rPr>
            </w:pPr>
            <w:r>
              <w:rPr>
                <w:rFonts w:ascii="Times New Roman" w:hAnsi="Times New Roman"/>
                <w:szCs w:val="21"/>
              </w:rPr>
              <w:t>井巷工程（专）</w:t>
            </w:r>
          </w:p>
        </w:tc>
        <w:tc>
          <w:tcPr>
            <w:tcW w:w="1087" w:type="dxa"/>
            <w:vMerge w:val="restart"/>
            <w:vAlign w:val="center"/>
          </w:tcPr>
          <w:p>
            <w:pPr>
              <w:spacing w:beforeLines="30" w:afterLines="30"/>
              <w:jc w:val="center"/>
              <w:rPr>
                <w:rFonts w:ascii="Times New Roman" w:hAnsi="Times New Roman"/>
                <w:szCs w:val="21"/>
              </w:rPr>
            </w:pPr>
            <w:r>
              <w:rPr>
                <w:rFonts w:ascii="Times New Roman" w:hAnsi="Times New Roman"/>
                <w:szCs w:val="21"/>
              </w:rPr>
              <w:t>3</w:t>
            </w:r>
          </w:p>
        </w:tc>
        <w:tc>
          <w:tcPr>
            <w:tcW w:w="2248"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MTCKJH0501A</w:t>
            </w:r>
          </w:p>
        </w:tc>
        <w:tc>
          <w:tcPr>
            <w:tcW w:w="1630"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3682" w:type="dxa"/>
            <w:vMerge w:val="continue"/>
            <w:vAlign w:val="center"/>
          </w:tcPr>
          <w:p>
            <w:pPr>
              <w:spacing w:beforeLines="30" w:afterLines="30"/>
              <w:jc w:val="center"/>
              <w:rPr>
                <w:rFonts w:ascii="Times New Roman" w:hAnsi="Times New Roman"/>
                <w:szCs w:val="21"/>
              </w:rPr>
            </w:pPr>
          </w:p>
        </w:tc>
        <w:tc>
          <w:tcPr>
            <w:tcW w:w="1087" w:type="dxa"/>
            <w:vMerge w:val="continue"/>
            <w:vAlign w:val="center"/>
          </w:tcPr>
          <w:p>
            <w:pPr>
              <w:spacing w:beforeLines="30" w:afterLines="30"/>
              <w:jc w:val="center"/>
              <w:rPr>
                <w:rFonts w:ascii="Times New Roman" w:hAnsi="Times New Roman"/>
                <w:szCs w:val="21"/>
              </w:rPr>
            </w:pPr>
          </w:p>
        </w:tc>
        <w:tc>
          <w:tcPr>
            <w:tcW w:w="2248"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MTCKJH0502A</w:t>
            </w:r>
          </w:p>
        </w:tc>
        <w:tc>
          <w:tcPr>
            <w:tcW w:w="1630"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3682" w:type="dxa"/>
            <w:vMerge w:val="continue"/>
            <w:vAlign w:val="center"/>
          </w:tcPr>
          <w:p>
            <w:pPr>
              <w:spacing w:beforeLines="30" w:afterLines="30"/>
              <w:jc w:val="center"/>
              <w:rPr>
                <w:rFonts w:ascii="Times New Roman" w:hAnsi="Times New Roman"/>
                <w:szCs w:val="21"/>
              </w:rPr>
            </w:pPr>
          </w:p>
        </w:tc>
        <w:tc>
          <w:tcPr>
            <w:tcW w:w="1087" w:type="dxa"/>
            <w:vMerge w:val="continue"/>
            <w:vAlign w:val="center"/>
          </w:tcPr>
          <w:p>
            <w:pPr>
              <w:spacing w:beforeLines="30" w:afterLines="30"/>
              <w:jc w:val="center"/>
              <w:rPr>
                <w:rFonts w:ascii="Times New Roman" w:hAnsi="Times New Roman"/>
                <w:szCs w:val="21"/>
              </w:rPr>
            </w:pPr>
          </w:p>
        </w:tc>
        <w:tc>
          <w:tcPr>
            <w:tcW w:w="2248"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MTCKJH0503A</w:t>
            </w:r>
          </w:p>
        </w:tc>
        <w:tc>
          <w:tcPr>
            <w:tcW w:w="1630"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7" w:hRule="exact"/>
          <w:jc w:val="center"/>
        </w:trPr>
        <w:tc>
          <w:tcPr>
            <w:tcW w:w="3682" w:type="dxa"/>
            <w:vMerge w:val="restart"/>
            <w:vAlign w:val="center"/>
          </w:tcPr>
          <w:p>
            <w:pPr>
              <w:spacing w:beforeLines="30" w:afterLines="30"/>
              <w:jc w:val="center"/>
              <w:rPr>
                <w:rFonts w:ascii="Times New Roman" w:hAnsi="Times New Roman"/>
                <w:szCs w:val="21"/>
              </w:rPr>
            </w:pPr>
            <w:r>
              <w:rPr>
                <w:rFonts w:ascii="Times New Roman" w:hAnsi="Times New Roman"/>
                <w:szCs w:val="21"/>
              </w:rPr>
              <w:t>矿山压力及岩层控制（专）</w:t>
            </w:r>
          </w:p>
        </w:tc>
        <w:tc>
          <w:tcPr>
            <w:tcW w:w="1087" w:type="dxa"/>
            <w:vMerge w:val="restart"/>
            <w:vAlign w:val="center"/>
          </w:tcPr>
          <w:p>
            <w:pPr>
              <w:spacing w:beforeLines="30" w:afterLines="30"/>
              <w:jc w:val="center"/>
              <w:rPr>
                <w:rFonts w:ascii="Times New Roman" w:hAnsi="Times New Roman"/>
                <w:szCs w:val="21"/>
              </w:rPr>
            </w:pPr>
            <w:r>
              <w:rPr>
                <w:rFonts w:ascii="Times New Roman" w:hAnsi="Times New Roman"/>
                <w:szCs w:val="21"/>
              </w:rPr>
              <w:t>3</w:t>
            </w:r>
          </w:p>
        </w:tc>
        <w:tc>
          <w:tcPr>
            <w:tcW w:w="2248"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MTCKKY0501A</w:t>
            </w:r>
          </w:p>
        </w:tc>
        <w:tc>
          <w:tcPr>
            <w:tcW w:w="1630"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7" w:hRule="exact"/>
          <w:jc w:val="center"/>
        </w:trPr>
        <w:tc>
          <w:tcPr>
            <w:tcW w:w="3682" w:type="dxa"/>
            <w:vMerge w:val="continue"/>
            <w:vAlign w:val="center"/>
          </w:tcPr>
          <w:p>
            <w:pPr>
              <w:spacing w:beforeLines="30" w:afterLines="30"/>
              <w:jc w:val="center"/>
              <w:rPr>
                <w:rFonts w:ascii="Times New Roman" w:hAnsi="Times New Roman"/>
                <w:szCs w:val="21"/>
              </w:rPr>
            </w:pPr>
          </w:p>
        </w:tc>
        <w:tc>
          <w:tcPr>
            <w:tcW w:w="1087" w:type="dxa"/>
            <w:vMerge w:val="continue"/>
            <w:vAlign w:val="center"/>
          </w:tcPr>
          <w:p>
            <w:pPr>
              <w:spacing w:beforeLines="30" w:afterLines="30"/>
              <w:jc w:val="center"/>
              <w:rPr>
                <w:rFonts w:ascii="Times New Roman" w:hAnsi="Times New Roman"/>
                <w:szCs w:val="21"/>
              </w:rPr>
            </w:pPr>
          </w:p>
        </w:tc>
        <w:tc>
          <w:tcPr>
            <w:tcW w:w="2248"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MTCKKY0502A</w:t>
            </w:r>
          </w:p>
        </w:tc>
        <w:tc>
          <w:tcPr>
            <w:tcW w:w="1630"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7" w:hRule="exact"/>
          <w:jc w:val="center"/>
        </w:trPr>
        <w:tc>
          <w:tcPr>
            <w:tcW w:w="3682" w:type="dxa"/>
            <w:vMerge w:val="continue"/>
            <w:vAlign w:val="center"/>
          </w:tcPr>
          <w:p>
            <w:pPr>
              <w:spacing w:beforeLines="30" w:afterLines="30"/>
              <w:jc w:val="center"/>
              <w:rPr>
                <w:rFonts w:ascii="Times New Roman" w:hAnsi="Times New Roman"/>
                <w:szCs w:val="21"/>
              </w:rPr>
            </w:pPr>
          </w:p>
        </w:tc>
        <w:tc>
          <w:tcPr>
            <w:tcW w:w="1087" w:type="dxa"/>
            <w:vMerge w:val="continue"/>
            <w:vAlign w:val="center"/>
          </w:tcPr>
          <w:p>
            <w:pPr>
              <w:spacing w:beforeLines="30" w:afterLines="30"/>
              <w:jc w:val="center"/>
              <w:rPr>
                <w:rFonts w:ascii="Times New Roman" w:hAnsi="Times New Roman"/>
                <w:szCs w:val="21"/>
              </w:rPr>
            </w:pPr>
          </w:p>
        </w:tc>
        <w:tc>
          <w:tcPr>
            <w:tcW w:w="2248"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MTCKKY0503A</w:t>
            </w:r>
          </w:p>
        </w:tc>
        <w:tc>
          <w:tcPr>
            <w:tcW w:w="1630" w:type="dxa"/>
            <w:vAlign w:val="center"/>
          </w:tcPr>
          <w:p>
            <w:pPr>
              <w:spacing w:line="240" w:lineRule="exact"/>
              <w:ind w:left="-105" w:leftChars="-50" w:right="-105" w:rightChars="-50"/>
              <w:jc w:val="center"/>
              <w:rPr>
                <w:rFonts w:ascii="Times New Roman" w:hAnsi="Times New Roman"/>
                <w:szCs w:val="21"/>
              </w:rPr>
            </w:pPr>
            <w:r>
              <w:rPr>
                <w:rFonts w:ascii="Times New Roman" w:hAnsi="Times New Roman"/>
                <w:szCs w:val="21"/>
              </w:rPr>
              <w:t>1</w:t>
            </w:r>
          </w:p>
        </w:tc>
      </w:tr>
    </w:tbl>
    <w:p>
      <w:pPr>
        <w:pStyle w:val="16"/>
        <w:spacing w:line="360" w:lineRule="auto"/>
        <w:ind w:firstLine="600"/>
        <w:rPr>
          <w:rFonts w:ascii="Times New Roman" w:hAnsi="Times New Roman" w:eastAsia="仿宋_GB2312" w:cs="Times New Roman"/>
          <w:sz w:val="30"/>
          <w:szCs w:val="30"/>
        </w:rPr>
      </w:pPr>
    </w:p>
    <w:p>
      <w:pPr>
        <w:pStyle w:val="16"/>
        <w:spacing w:line="360" w:lineRule="auto"/>
        <w:ind w:firstLine="600"/>
        <w:rPr>
          <w:rFonts w:ascii="Times New Roman" w:hAnsi="Times New Roman" w:eastAsia="仿宋_GB2312" w:cs="Times New Roman"/>
          <w:sz w:val="30"/>
          <w:szCs w:val="30"/>
        </w:rPr>
      </w:pPr>
    </w:p>
    <w:p>
      <w:pPr>
        <w:pStyle w:val="16"/>
        <w:spacing w:line="360" w:lineRule="auto"/>
        <w:ind w:firstLine="600"/>
        <w:rPr>
          <w:rFonts w:ascii="Times New Roman" w:hAnsi="Times New Roman" w:eastAsia="仿宋_GB2312" w:cs="Times New Roman"/>
          <w:sz w:val="30"/>
          <w:szCs w:val="30"/>
        </w:rPr>
      </w:pPr>
    </w:p>
    <w:p>
      <w:pPr>
        <w:pStyle w:val="16"/>
        <w:spacing w:line="360" w:lineRule="auto"/>
        <w:ind w:firstLine="600"/>
        <w:rPr>
          <w:rFonts w:ascii="Times New Roman" w:hAnsi="Times New Roman" w:eastAsia="仿宋_GB2312" w:cs="Times New Roman"/>
          <w:sz w:val="30"/>
          <w:szCs w:val="30"/>
        </w:rPr>
      </w:pPr>
    </w:p>
    <w:p>
      <w:pPr>
        <w:pStyle w:val="16"/>
        <w:spacing w:line="360" w:lineRule="auto"/>
        <w:ind w:firstLine="600"/>
        <w:rPr>
          <w:rFonts w:ascii="Times New Roman" w:hAnsi="Times New Roman" w:eastAsia="仿宋_GB2312" w:cs="Times New Roman"/>
          <w:sz w:val="30"/>
          <w:szCs w:val="30"/>
        </w:rPr>
      </w:pPr>
    </w:p>
    <w:p>
      <w:pPr>
        <w:pStyle w:val="16"/>
        <w:spacing w:line="360" w:lineRule="auto"/>
        <w:ind w:firstLine="600"/>
        <w:rPr>
          <w:rFonts w:ascii="Times New Roman" w:hAnsi="Times New Roman" w:eastAsia="仿宋_GB2312" w:cs="Times New Roman"/>
          <w:sz w:val="30"/>
          <w:szCs w:val="30"/>
        </w:rPr>
      </w:pPr>
    </w:p>
    <w:p>
      <w:pPr>
        <w:pStyle w:val="16"/>
        <w:spacing w:line="360" w:lineRule="auto"/>
        <w:ind w:firstLine="600"/>
        <w:rPr>
          <w:rFonts w:ascii="Times New Roman" w:hAnsi="Times New Roman" w:eastAsia="仿宋_GB2312" w:cs="Times New Roman"/>
          <w:sz w:val="30"/>
          <w:szCs w:val="30"/>
        </w:rPr>
      </w:pPr>
    </w:p>
    <w:p>
      <w:pPr>
        <w:pStyle w:val="16"/>
        <w:spacing w:line="360" w:lineRule="auto"/>
        <w:ind w:firstLine="600"/>
        <w:rPr>
          <w:rFonts w:ascii="Times New Roman" w:hAnsi="Times New Roman" w:eastAsia="仿宋_GB2312" w:cs="Times New Roman"/>
          <w:sz w:val="30"/>
          <w:szCs w:val="30"/>
        </w:rPr>
      </w:pPr>
    </w:p>
    <w:p>
      <w:pPr>
        <w:pStyle w:val="16"/>
        <w:spacing w:line="360" w:lineRule="auto"/>
        <w:ind w:firstLine="600"/>
        <w:rPr>
          <w:rFonts w:ascii="Times New Roman" w:hAnsi="Times New Roman" w:eastAsia="仿宋_GB2312" w:cs="Times New Roman"/>
          <w:sz w:val="30"/>
          <w:szCs w:val="30"/>
        </w:rPr>
      </w:pPr>
    </w:p>
    <w:p>
      <w:pPr>
        <w:jc w:val="left"/>
        <w:outlineLvl w:val="0"/>
        <w:rPr>
          <w:rFonts w:ascii="Times New Roman" w:hAnsi="Times New Roman" w:eastAsia="仿宋_GB2312"/>
          <w:b/>
          <w:bCs/>
          <w:spacing w:val="-6"/>
          <w:sz w:val="28"/>
          <w:szCs w:val="30"/>
        </w:rPr>
      </w:pPr>
      <w:bookmarkStart w:id="104" w:name="_Toc423019142"/>
      <w:r>
        <w:rPr>
          <w:rFonts w:ascii="Times New Roman" w:hAnsi="Times New Roman" w:eastAsia="仿宋_GB2312"/>
          <w:b/>
          <w:bCs/>
          <w:spacing w:val="-6"/>
          <w:sz w:val="28"/>
          <w:szCs w:val="30"/>
        </w:rPr>
        <w:t>附件6  煤炭学院试点学习中心（点）落实计划表（煤炭院校类）</w:t>
      </w:r>
      <w:bookmarkEnd w:id="104"/>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936"/>
        <w:gridCol w:w="3842"/>
        <w:gridCol w:w="4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rPr>
            </w:pPr>
            <w:r>
              <w:rPr>
                <w:rFonts w:ascii="Times New Roman" w:hAnsi="Times New Roman"/>
                <w:b/>
              </w:rPr>
              <w:t>序号</w:t>
            </w:r>
          </w:p>
        </w:tc>
        <w:tc>
          <w:tcPr>
            <w:tcW w:w="93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rPr>
            </w:pPr>
            <w:r>
              <w:rPr>
                <w:rFonts w:ascii="Times New Roman" w:hAnsi="Times New Roman"/>
                <w:b/>
              </w:rPr>
              <w:t>学习中心挂靠单位</w:t>
            </w:r>
          </w:p>
        </w:tc>
        <w:tc>
          <w:tcPr>
            <w:tcW w:w="384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rPr>
            </w:pPr>
            <w:r>
              <w:rPr>
                <w:rFonts w:ascii="Times New Roman" w:hAnsi="Times New Roman"/>
                <w:b/>
              </w:rPr>
              <w:t>单位性质及规模</w:t>
            </w:r>
          </w:p>
        </w:tc>
        <w:tc>
          <w:tcPr>
            <w:tcW w:w="406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rPr>
            </w:pPr>
            <w:r>
              <w:rPr>
                <w:rFonts w:ascii="Times New Roman" w:hAnsi="Times New Roman"/>
                <w:b/>
              </w:rPr>
              <w:t>教学与实训条件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中国矿业大学矿业工程学院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中国矿业大学矿业工程学院已有百年的办学历史， 2007年10月成立矿业工程学院。矿业工程学院现设采矿工程系、工业工程系、交通运输系和</w:t>
            </w:r>
            <w:r>
              <w:fldChar w:fldCharType="begin"/>
            </w:r>
            <w:r>
              <w:instrText xml:space="preserve"> HYPERLINK "http://baike.so.com/doc/5618049.html" \t "_blank" </w:instrText>
            </w:r>
            <w:r>
              <w:fldChar w:fldCharType="separate"/>
            </w:r>
            <w:r>
              <w:rPr>
                <w:rFonts w:ascii="Times New Roman" w:hAnsi="Times New Roman"/>
              </w:rPr>
              <w:t>露天开采</w:t>
            </w:r>
            <w:r>
              <w:rPr>
                <w:rFonts w:ascii="Times New Roman" w:hAnsi="Times New Roman"/>
              </w:rPr>
              <w:fldChar w:fldCharType="end"/>
            </w:r>
            <w:r>
              <w:rPr>
                <w:rFonts w:ascii="Times New Roman" w:hAnsi="Times New Roman"/>
                <w:shd w:val="clear" w:color="auto" w:fill="FFFFFF"/>
              </w:rPr>
              <w:t>与边坡工程研究所。采矿工程系下设煤炭资源绿色开采研究所、资源规划与开采研究所、岩层控制研究所、矿山震动与冲击研究所、井下充填开采研究所。采矿工程学科是国家级重点学科并设有教育部“长江学者奖励计划”特聘教授岗位、也是国家“211工程”重点学科建设项目、“985工程优势学科创新平台”重点建设学科。</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拥有较为完善的教学和实验设施，现设有煤炭资源与安全开采国家重点实验室、矿业工程学院省级实验教学示范中心、岩层控制实验室等教学、科研实验平台；学院资料室拥有专业藏书、期刊2万余册，在学校图书馆可实现学院资料的网上查询，数据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2</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中国矿业大学（北京）资源与安全学院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资源与安全工程学院（安全科学技术学院）成立于1998年，下设矿业工程系、安全工程系、放顶煤开采技术中心和安全检测检验中心等单位。学院招收采矿工程、安全工程、工业工程、消防工程4个专业的本科生，其中采矿工程、安全工程为国家级重点学科和国家级特色专业。</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学院有1个国家级实验教学示范中心，1个国家级工程实践教育中心，1个北京市优秀教学团队，1门北京市精品课程，1本北京市高校精品教材；安全工程专业通过了教育部工程专业认证。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3</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辽宁工程技术大学资源与环境工程学院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资源与环境工程学院设有矿物资源工程、矿物加工工程、安全工程、地质工程、环境工程、环境科学、水土保持与荒漠化防治七个本科专业；设有采矿工程、矿物加工工程、安全技术与工程、环境工程、环境科学与水土保持、地质工程六个系和采矿工程、安全工程两个研究中心；拥有一级学科矿业工程博士后科研流动站、一级学科矿业工程博士授权点；采矿工程、安全技术与工程及矿物加工工程三个二级学科博士点；拥有采矿工程、安全技术及工程、矿产普查与勘探、地质工程四个硕士学位授权点及在职人员同等学力硕士学位授予权；拥有矿业工程领域及地质工程领域工程硕士学位授予权。</w:t>
            </w:r>
          </w:p>
          <w:p>
            <w:pPr>
              <w:jc w:val="center"/>
              <w:rPr>
                <w:rFonts w:ascii="Times New Roman" w:hAnsi="Times New Roman"/>
                <w:shd w:val="clear" w:color="auto" w:fill="FFFFFF"/>
              </w:rPr>
            </w:pP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的采矿工程学科、安全技术与工程学科是省重点学科，安全技术与工程专业是辽宁省示范性专业，采矿工程实验室、安全工程实验室均为国家煤炭工业重点实验室，拥有辽宁省重点实验室：矿产资源安全洁净开采与综合利用实验室。具有国家劳动安全卫生评价中心资质。学院与德国柏林工业大学、澳大利亚卧龙岗大学建立了联合培养学生和合作科研关系，与神华集团、准格尔能源有限责任集团、铁法煤业集团等数十个大型企业集团建立了长期稳定的科研合作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4</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山东科技大学矿业与安全工程学院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现有矿业工程、安全科学与工程2个博士后科研流动站，矿业工程、安全科学与工程2个一级学科博士点，采矿工程、安全技术及工程等8个二级学科博士点，11个硕士点，4个工程硕士授权领域，采矿工程、安全工程、工程力学、工业工程、理论与应用力学5个本科专业。</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现有“矿山灾害预防控制”国家重点实验室培育基地、“煤矿深部矿压与突水动力灾害机理与防治”教育部创新团队、教育部重点实验室1个、山东省重点实验室3个、山东省工程技术研究中心2个和研究所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7" w:hRule="atLeast"/>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5</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西安科技大学能源学院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能源学院（原采矿工程系）源于1938年7月北洋大学工学院、北平大学工学院、东北大学工学院和私立焦作工学院组成的国立西北工学院矿冶系，后更名为采矿系。2002年，采矿工程系更名为能源学院，下设采矿工程系、安全工程系、建筑环境与设备工程系、消防工程系。</w:t>
            </w:r>
          </w:p>
        </w:tc>
        <w:tc>
          <w:tcPr>
            <w:tcW w:w="406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hd w:val="clear" w:color="auto" w:fill="FFFFFF"/>
              </w:rPr>
            </w:pPr>
            <w:r>
              <w:rPr>
                <w:rFonts w:ascii="Times New Roman" w:hAnsi="Times New Roman"/>
                <w:shd w:val="clear" w:color="auto" w:fill="FFFFFF"/>
              </w:rPr>
              <w:t>能源学院拥有1个国家级人才培养模式创新实验区，1个国家级实验教学示范中心，1个国家矿山救援技术西安研究中心，1个国家级安全生产培训机构，1个教育部重点实验室，1个教育部创新团队，1个教育部西部矿山煤矿安全工程研究中心， 1个陕西省实验教学示范中心，2个省级人才培养模式创新实验区，1个省级2011协同创新中心， 2个省部级重点实验室，学校矿业工程博士后科研流动站、安全科学与工程博士后科研流动站均以能源学院为依托。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6</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河北工程大学资源学院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资源学院是河北工程大学历史最悠久的学院之一，具有雄厚的师资力量和先进的教学设备。 学院现有4个教学系：勘查系、</w:t>
            </w:r>
            <w:r>
              <w:fldChar w:fldCharType="begin"/>
            </w:r>
            <w:r>
              <w:instrText xml:space="preserve"> HYPERLINK "http://baike.baidu.com/view/834893.htm" \t "_blank" </w:instrText>
            </w:r>
            <w:r>
              <w:fldChar w:fldCharType="separate"/>
            </w:r>
            <w:r>
              <w:rPr>
                <w:rFonts w:ascii="Times New Roman" w:hAnsi="Times New Roman"/>
                <w:shd w:val="clear" w:color="auto" w:fill="FFFFFF"/>
              </w:rPr>
              <w:t>矿业工程</w:t>
            </w:r>
            <w:r>
              <w:rPr>
                <w:rFonts w:ascii="Times New Roman" w:hAnsi="Times New Roman"/>
                <w:shd w:val="clear" w:color="auto" w:fill="FFFFFF"/>
              </w:rPr>
              <w:fldChar w:fldCharType="end"/>
            </w:r>
            <w:r>
              <w:rPr>
                <w:rFonts w:ascii="Times New Roman" w:hAnsi="Times New Roman"/>
                <w:shd w:val="clear" w:color="auto" w:fill="FFFFFF"/>
              </w:rPr>
              <w:t>系、资环系、测绘工程系；</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学院拥有3个综合实验室：地质综合实验室、采矿与安全综合实验室、测绘与信息综合实验室，每个综合实验室下设专项实验室。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9" w:hRule="atLeast"/>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7</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黑龙江科技大学矿业工程学院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黑龙江科技大学矿业工程学院是学校实施“大矿业”战略的主体院系。学院历史悠久。具有完备的学科专业结构体系。学院拥有采矿工程、矿物加工工程、资源勘查工程、测绘工程和人文地理与城乡规划5个本科专业，采矿工程和矿物加工工程是省级重点专业和国家级特色专业。</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学院拥有黑龙江省重点实验室“煤矿深部开采地压控制与瓦斯治理”实验室，黑龙江省教育厅重点实验室“采矿工程”、“矿物加工工程”实验室，黑龙江省洁净煤技术研究中心。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8</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河南理工大学能源科学与工程学院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能源科学与工程学院成立于2005年5月，目前，能源科学与工程学院由采矿工程学科、工业工程学科、交通工程学科、煤与煤层气工程学科组成。学院设有采矿工程、工业工程、交通工程、煤与煤层气工程4个本科专业。</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能源科学与工程学院设有矿山开发设计研究所、工矿技术开发公司、岩层控制与特殊开采研究所及采矿工艺技术等四个校级研究所（公司）。拥有岩石力学、矿山压力、相似材料模拟、数值计算、人因工程、交通工程、煤层气工程等多个实验室，实验室面积4000余平方米，万元以上设备120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9</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太原理工大学矿业工程学院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太原理工大学矿业工程学院是系统地服务于煤炭工业领域的专业性学院，设有采矿工程、安全科学与工程、地下工程、地球科学与工程、测绘科学与技术、矿物加工工程、煤矿机电等7个系和采矿工程、安全工程、矿物加工工程、资源勘察工程、勘查技术与工程、测绘工程、地理信息系统、城市地下空间工程、资源环境与城乡规划管理、煤矿机械化、煤矿电气化11个本科专业和方向。</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学院设有矿业工程、安全科学与工程两个一级学科博士后科研流动站，建有省部级重点实验室2个——原位改性采矿教育部重点实验室与矿产资源安全高效开采山西省重点实验室。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10</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安徽理工大学能源与安全学院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能源与安全学院起源于1947年的安徽淮南煤炭工业专科学校采煤系， 2007年7月正式更名为能源与安全学院。学院下设采矿工程系、安全工程系两个系。</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现有省部共建教育部重点实验室、安徽省重点实验室、安徽省工程技术研究中心、部（原煤炭部）批研究所、安徽省产学研联合培养研究生示范基地、安徽省高校科技创新团队各1个；拥有国家安全生产监督管理总局煤矿安全技术培训二级培训机构和煤炭行业职业经理人资格认证二级培训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11</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北京工业职业技术学院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北京工业职业技术学院是一所以工科专业为主、独立设置的公办普通高等职业学院。学校现设机电工程学院、电气与信息工程学院、建筑与测绘工程学院、基础教育学院、经济管理系、文法系、思想政治理论课教学部和一所继续教育学院，形成了独具特色的以工科专业为主，工、经、管、文、法等不同门类协调发展的专业体系。</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校地处北京市石景山区，占地360亩，建筑面积19万平方米。固定资产总值为4.96亿元（不含土地），其中教学仪器设备总值为2.63亿元。建有体育馆、网球馆等体育设施。校内生产实训企业4家；学训一体实训室143个；稳定的校外挂牌实训基地230多个；校内实训基地18个，其中中央财政和北京市财政重点支持建设的实训基地5个；学校图书馆馆藏文献150万件（册），其中电子图书100万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12</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河北能源职业技术学院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shd w:val="clear" w:color="auto" w:fill="FFFFFF"/>
              </w:rPr>
            </w:pPr>
            <w:r>
              <w:rPr>
                <w:rFonts w:ascii="Times New Roman" w:hAnsi="Times New Roman"/>
                <w:shd w:val="clear" w:color="auto" w:fill="FFFFFF"/>
              </w:rPr>
              <w:t>河北能源职业技术学院是经河北省政府批准、教育部备案的普通高职院校，由开滦（集团）有限责任公司举办和管理，集高职、中职、成人岗位培训和继续教育、安全技术培训等多种办学层次于一体，具有鲜明的“校企一体、产教相融；学培并举、集团发展”特色。学院实行党委领导下的院长负责制，实施学院-系部-教研室三级管理体系，设矿产资源与建工系、经济管理系、信息工程系等七个系部，系部下设教研室。还有中国矿业大学函授站、北京交通大学函授站及中国地质大学、中国石油大学、北京交通大学现代远程教育唐山学习中心。</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河北能源职业技术学院</w:t>
            </w:r>
            <w:r>
              <w:fldChar w:fldCharType="begin"/>
            </w:r>
            <w:r>
              <w:instrText xml:space="preserve"> HYPERLINK "http://baike.so.com/doc/471248.html" \t "_blank" </w:instrText>
            </w:r>
            <w:r>
              <w:fldChar w:fldCharType="separate"/>
            </w:r>
            <w:r>
              <w:rPr>
                <w:rFonts w:ascii="Times New Roman" w:hAnsi="Times New Roman"/>
              </w:rPr>
              <w:t>占地面积</w:t>
            </w:r>
            <w:r>
              <w:rPr>
                <w:rFonts w:ascii="Times New Roman" w:hAnsi="Times New Roman"/>
              </w:rPr>
              <w:fldChar w:fldCharType="end"/>
            </w:r>
            <w:r>
              <w:rPr>
                <w:rFonts w:ascii="Times New Roman" w:hAnsi="Times New Roman"/>
                <w:shd w:val="clear" w:color="auto" w:fill="FFFFFF"/>
              </w:rPr>
              <w:t>28万平方米，建筑面积18万平方米，其中校舍建筑面积12.88万平方米。学院具有较强的师资队伍，现有教职工总数540人，其中专任教师290人，教授22人，副高职称以上的141人，硕士学位以上教师82人；青年教师中具有</w:t>
            </w:r>
            <w:r>
              <w:fldChar w:fldCharType="begin"/>
            </w:r>
            <w:r>
              <w:instrText xml:space="preserve"> HYPERLINK "http://baike.so.com/doc/5350483.html" \t "_blank" </w:instrText>
            </w:r>
            <w:r>
              <w:fldChar w:fldCharType="separate"/>
            </w:r>
            <w:r>
              <w:rPr>
                <w:rFonts w:ascii="Times New Roman" w:hAnsi="Times New Roman"/>
              </w:rPr>
              <w:t>研究生</w:t>
            </w:r>
            <w:r>
              <w:rPr>
                <w:rFonts w:ascii="Times New Roman" w:hAnsi="Times New Roman"/>
              </w:rPr>
              <w:fldChar w:fldCharType="end"/>
            </w:r>
            <w:r>
              <w:rPr>
                <w:rFonts w:ascii="Times New Roman" w:hAnsi="Times New Roman"/>
                <w:shd w:val="clear" w:color="auto" w:fill="FFFFFF"/>
              </w:rPr>
              <w:t>学历或硕士以上学位的51人，占青年教师的35.75%；具有高级职称教师110人，占专任教师的37.93%；有“双师素质”教师102人，占专任教师的35.17%；兼职教师均具备中高级以上</w:t>
            </w:r>
            <w:r>
              <w:fldChar w:fldCharType="begin"/>
            </w:r>
            <w:r>
              <w:instrText xml:space="preserve"> HYPERLINK "http://baike.so.com/doc/2228104.html" \t "_blank" </w:instrText>
            </w:r>
            <w:r>
              <w:fldChar w:fldCharType="separate"/>
            </w:r>
            <w:r>
              <w:rPr>
                <w:rFonts w:ascii="Times New Roman" w:hAnsi="Times New Roman"/>
              </w:rPr>
              <w:t>专业技术职称</w:t>
            </w:r>
            <w:r>
              <w:rPr>
                <w:rFonts w:ascii="Times New Roman" w:hAnsi="Times New Roman"/>
              </w:rPr>
              <w:fldChar w:fldCharType="end"/>
            </w:r>
            <w:r>
              <w:rPr>
                <w:rFonts w:ascii="Times New Roman" w:hAnsi="Times New Roman"/>
                <w:shd w:val="clear" w:color="auto" w:fill="FFFFFF"/>
              </w:rPr>
              <w:t>，其中具有高级职称兼职教师达40.63%。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13</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平顶山工业职业技术学院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平顶山工业职业技术学院是由国家教育部备案、河南省人民政府批准的普通高等职业院校。是国家首批示范性高等职业院校、全国文明单位。学院教学设五院九系两部两校一中心，即机电工程学院、软件学院、成教学院、国际合作学院、网络学院；资源开发系、化工系、机械工程系、电力工程系、自动化与信息工程系、计算机系、经济管理系、艺术系、外语系；文化教育部、思想政治教学部；技工学校、党校（中国平煤神马集团），安全培训中心。开设高职专业40个；中职专业12个，其中，国家高职重点建设专业6个，省级高职教学改革试点专业7个，省级特色专业建设点6个。国家级精品课程8门，省级精品课程23门（含教职委）。</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教学设备齐全，建有院士实验楼、中央支持的煤矿安全实训基地、河南省政府支持建设的瓦斯防治实验室、中国平煤神马集团国家级技术中心重点实验室和博士后科研工作站、国家二级安全培训基地。拥有与设置专业配套的、具有真实场景或仿真的实验、实训室（车间）98个，校外实习基地106个，设有省内最大的职业技能鉴定站。图书馆藏书97.6万册。建有多媒体教室51个， 4个标准化学生食堂和26幢标准化学生公寓。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14</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山西煤炭职业技术学院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山西煤炭职业技术学院是一所培养煤炭类高端技能型专门人才的全日制专科层次的职业学院，位于山西省会太原市。学院有采矿工程系、机电工程系、地测工程系、煤炭化工系、计算机信息系、财经系、中专部、思政部（社科部）、体育基础部、成人教育部、煤矿安全培训中心等教学单位。</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教学仪器设备总值6997.5万元，建有13个校内实训基地，97个校内实验实训室，306个校外实训基地，拥有“中央财政支持的煤矿安全区域综合性实训基地”，省级矿山机电示范实训基地。图书馆藏书86万册。学院建有2门国家级精品资源共享课，10门省级精品资源共享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15</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运城职业技术学院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运城职业技术学院是一所国家正式批准、具有独立教育资格的高等院校， 学院设有矿山工程系、机电工程系、汽车工程系、电子信息工程系、建筑工程系、印刷工程系、有机食品工程系、经济管理系、基础部、体育部、中专部等11个教学系部。</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建有电工电子、物流、建筑、计算机等50多个专业实验实训室和矿山工程实训中心（教学矿井）、金工数控实训中心、汽车实训中心、印刷实训中心、呼叫中心等校内生产性实训基地，其中矿山工程实训中心和印刷技术实训基地被评为山西省示范性实训基地。为了加强学生实践能力培养，学院投资2亿元，在校内建设了一个年生产能力达300万吨的教学矿井，为高等院校、煤炭企业及科研院所开展实践教学、生产培训、科学研究、技能鉴定提供了一个真实的现场实践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16</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长治职业技术学院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Times New Roman" w:hAnsi="Times New Roman"/>
                <w:shd w:val="clear" w:color="auto" w:fill="FFFFFF"/>
              </w:rPr>
            </w:pPr>
            <w:r>
              <w:rPr>
                <w:rFonts w:ascii="Times New Roman" w:hAnsi="Times New Roman"/>
                <w:shd w:val="clear" w:color="auto" w:fill="FFFFFF"/>
              </w:rPr>
              <w:t>长治职业技术学院于2000年9月由原长治职工大学、晋东南煤矿学校、长治农业学校合并组建合成，属于国务院授权后，经山西省政府首批批准、国务院备案的、由长治市政府举办的地方性的高等职业技术学院。学校设有机械、电气、企业管理、土建等6个系部。</w:t>
            </w:r>
          </w:p>
          <w:p>
            <w:pPr>
              <w:spacing w:line="300" w:lineRule="exact"/>
              <w:jc w:val="left"/>
              <w:rPr>
                <w:rFonts w:ascii="Times New Roman" w:hAnsi="Times New Roman"/>
                <w:shd w:val="clear" w:color="auto" w:fill="FFFFFF"/>
              </w:rPr>
            </w:pPr>
          </w:p>
          <w:p>
            <w:pPr>
              <w:spacing w:line="300" w:lineRule="exact"/>
              <w:jc w:val="left"/>
              <w:rPr>
                <w:rFonts w:ascii="Times New Roman" w:hAnsi="Times New Roman"/>
                <w:shd w:val="clear" w:color="auto" w:fill="FFFFFF"/>
              </w:rPr>
            </w:pP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建立了物理、机械、电教、电工、微机、土工、机动等12个实验室，图书资料近六万册。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17</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陕西能源职业技术学院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陕西能源职业技术学院是经陕西省人民政府批准，教育部备案的普通高等学校学院.现设有理、工、医、护等专业32个，形成了以高职教育与</w:t>
            </w:r>
            <w:r>
              <w:fldChar w:fldCharType="begin"/>
            </w:r>
            <w:r>
              <w:instrText xml:space="preserve"> HYPERLINK "http://baike.so.com/doc/5393136.html" \t "_blank" </w:instrText>
            </w:r>
            <w:r>
              <w:fldChar w:fldCharType="separate"/>
            </w:r>
            <w:r>
              <w:rPr>
                <w:rFonts w:ascii="Times New Roman" w:hAnsi="Times New Roman"/>
              </w:rPr>
              <w:t>继续教育</w:t>
            </w:r>
            <w:r>
              <w:rPr>
                <w:rFonts w:ascii="Times New Roman" w:hAnsi="Times New Roman"/>
              </w:rPr>
              <w:fldChar w:fldCharType="end"/>
            </w:r>
            <w:r>
              <w:rPr>
                <w:rFonts w:ascii="Times New Roman" w:hAnsi="Times New Roman"/>
                <w:shd w:val="clear" w:color="auto" w:fill="FFFFFF"/>
              </w:rPr>
              <w:t>并举、</w:t>
            </w:r>
            <w:r>
              <w:fldChar w:fldCharType="begin"/>
            </w:r>
            <w:r>
              <w:instrText xml:space="preserve"> HYPERLINK "http://baike.so.com/doc/669427.html" \t "_blank" </w:instrText>
            </w:r>
            <w:r>
              <w:fldChar w:fldCharType="separate"/>
            </w:r>
            <w:r>
              <w:rPr>
                <w:rFonts w:ascii="Times New Roman" w:hAnsi="Times New Roman"/>
              </w:rPr>
              <w:t>学历教育</w:t>
            </w:r>
            <w:r>
              <w:rPr>
                <w:rFonts w:ascii="Times New Roman" w:hAnsi="Times New Roman"/>
              </w:rPr>
              <w:fldChar w:fldCharType="end"/>
            </w:r>
            <w:r>
              <w:rPr>
                <w:rFonts w:ascii="Times New Roman" w:hAnsi="Times New Roman"/>
                <w:shd w:val="clear" w:color="auto" w:fill="FFFFFF"/>
              </w:rPr>
              <w:t>与非学历培训并存，课程教育与远程教育共济的多层次的办学格局。</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目前占地面积318亩，拥有2150万元的教学实验仪器设备，有各类实验室58个，实习工厂、实习医院和校企联办实习基地60余家，学习和生活设施先进完善。学院有30余万册馆藏图书，建立了先进的电子图书阅览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18</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重庆工程职业技术学院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创办于1951年，是由</w:t>
            </w:r>
            <w:r>
              <w:fldChar w:fldCharType="begin"/>
            </w:r>
            <w:r>
              <w:instrText xml:space="preserve"> HYPERLINK "http://baike.so.com/doc/6298480.html" \t "_blank" </w:instrText>
            </w:r>
            <w:r>
              <w:fldChar w:fldCharType="separate"/>
            </w:r>
            <w:r>
              <w:rPr>
                <w:rFonts w:ascii="Times New Roman" w:hAnsi="Times New Roman"/>
              </w:rPr>
              <w:t>重庆市人民政府</w:t>
            </w:r>
            <w:r>
              <w:rPr>
                <w:rFonts w:ascii="Times New Roman" w:hAnsi="Times New Roman"/>
              </w:rPr>
              <w:fldChar w:fldCharType="end"/>
            </w:r>
            <w:r>
              <w:rPr>
                <w:rFonts w:ascii="Times New Roman" w:hAnsi="Times New Roman"/>
                <w:shd w:val="clear" w:color="auto" w:fill="FFFFFF"/>
              </w:rPr>
              <w:t>举办，重庆市教育委员会主管的全日制普通公办高等院校，是国家示范性高等职业院校。学院设有矿业与环境工程学院、机械工程学院、建筑工程学院、信息工程学院、财经与贸易学院、地质与测绘工程学院、电气工程学院、艺术设计系等10个二级院系。</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包括2个中央财政支持建设的校内实训基地38个，校外实习基地171个。学院是重庆建筑行业和煤矿主体专业紧缺人才培养基地、重庆企业员工和三峡库区移民培训基地，建有重庆煤矿技术服务中心、重庆主城区职业技能鉴定中心和学生职业素质教育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19</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黑龙江煤炭职业技术学院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是经黑龙江省人民政府批准，国家教育部备案的省属专科层次的普通高校。学院以高等职业教育为主，同时举办成人专科、成人中专、中等师范教育。设有煤矿开采技术、矿山地质、矿山测量、通风与安全、矿山机电、</w:t>
            </w:r>
            <w:r>
              <w:fldChar w:fldCharType="begin"/>
            </w:r>
            <w:r>
              <w:instrText xml:space="preserve"> HYPERLINK "http://baike.so.com/doc/5414552.html" \t "_blank" </w:instrText>
            </w:r>
            <w:r>
              <w:fldChar w:fldCharType="separate"/>
            </w:r>
            <w:r>
              <w:rPr>
                <w:rFonts w:ascii="Times New Roman" w:hAnsi="Times New Roman"/>
              </w:rPr>
              <w:t>机械制造与自动化</w:t>
            </w:r>
            <w:r>
              <w:rPr>
                <w:rFonts w:ascii="Times New Roman" w:hAnsi="Times New Roman"/>
              </w:rPr>
              <w:fldChar w:fldCharType="end"/>
            </w:r>
            <w:r>
              <w:rPr>
                <w:rFonts w:ascii="Times New Roman" w:hAnsi="Times New Roman"/>
                <w:shd w:val="clear" w:color="auto" w:fill="FFFFFF"/>
              </w:rPr>
              <w:t>、电厂设备运行与维护、数控技术、矿物加工技术、财务管理等专业。</w:t>
            </w:r>
          </w:p>
        </w:tc>
        <w:tc>
          <w:tcPr>
            <w:tcW w:w="406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hd w:val="clear" w:color="auto" w:fill="FFFFFF"/>
              </w:rPr>
            </w:pPr>
            <w:r>
              <w:rPr>
                <w:rFonts w:ascii="Times New Roman" w:hAnsi="Times New Roman"/>
                <w:shd w:val="clear" w:color="auto" w:fill="FFFFFF"/>
              </w:rPr>
              <w:t>学院有院本部、岭西、哈尔滨三大校区，有一厂八矿作为学生的实习实训基地，我院是中国煤炭远程教育网加盟单位。2005年国家投资160万元学校自筹80万元，建设龙江</w:t>
            </w:r>
            <w:r>
              <w:fldChar w:fldCharType="begin"/>
            </w:r>
            <w:r>
              <w:instrText xml:space="preserve"> HYPERLINK "http://baike.so.com/doc/6531005.html" \t "_blank" </w:instrText>
            </w:r>
            <w:r>
              <w:fldChar w:fldCharType="separate"/>
            </w:r>
            <w:r>
              <w:rPr>
                <w:rFonts w:ascii="Times New Roman" w:hAnsi="Times New Roman"/>
              </w:rPr>
              <w:t>高职院校</w:t>
            </w:r>
            <w:r>
              <w:rPr>
                <w:rFonts w:ascii="Times New Roman" w:hAnsi="Times New Roman"/>
              </w:rPr>
              <w:fldChar w:fldCharType="end"/>
            </w:r>
            <w:r>
              <w:rPr>
                <w:rFonts w:ascii="Times New Roman" w:hAnsi="Times New Roman"/>
                <w:shd w:val="clear" w:color="auto" w:fill="FFFFFF"/>
              </w:rPr>
              <w:t>最好的数控实习基地。采矿工程实习基地为国家示范实习基地。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6" w:hRule="atLeast"/>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20</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兰州资源环境职业技术学院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hd w:val="clear" w:color="auto" w:fill="FFFFFF"/>
              </w:rPr>
            </w:pPr>
            <w:r>
              <w:rPr>
                <w:rFonts w:ascii="Times New Roman" w:hAnsi="Times New Roman"/>
                <w:shd w:val="clear" w:color="auto" w:fill="FFFFFF"/>
              </w:rPr>
              <w:t>省政府批准、教育部备案，省属公办全日制专科层次的普通高校，是甘肃省教育厅直属的惟一一所具有普通专科(高职)、普通中专、成人专科教育招生资格的普通高等学校，面向全国招生和就业。教学单位有气象系、采矿工程系、地质工程系、机电工程系、水利工程系、冶金工程系、信息管理系、基础部、成人教育部和培训中心10个。</w:t>
            </w:r>
          </w:p>
        </w:tc>
        <w:tc>
          <w:tcPr>
            <w:tcW w:w="406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hd w:val="clear" w:color="auto" w:fill="FFFFFF"/>
              </w:rPr>
            </w:pPr>
            <w:r>
              <w:rPr>
                <w:rFonts w:ascii="Times New Roman" w:hAnsi="Times New Roman"/>
                <w:shd w:val="clear" w:color="auto" w:fill="FFFFFF"/>
              </w:rPr>
              <w:t>学院建有84个实验实训室，分属采矿实训技术中心、兰州资源环境职业技术学院地勘技术实训中心、气象实训中心、环保技术实训中心、机电技术实训中心、安全工程实训中心、测量技术实训中心、信息技术实训中心等八大综合校内实训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21</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江西工业工程职业技术学院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全日制普通高等职业院校。 学院现设有电子工程系、</w:t>
            </w:r>
            <w:r>
              <w:fldChar w:fldCharType="begin"/>
            </w:r>
            <w:r>
              <w:instrText xml:space="preserve"> HYPERLINK "http://baike.so.com/doc/6739799.html" \t "_blank" </w:instrText>
            </w:r>
            <w:r>
              <w:fldChar w:fldCharType="separate"/>
            </w:r>
            <w:r>
              <w:rPr>
                <w:rFonts w:ascii="Times New Roman" w:hAnsi="Times New Roman"/>
              </w:rPr>
              <w:t>机电工程系</w:t>
            </w:r>
            <w:r>
              <w:rPr>
                <w:rFonts w:ascii="Times New Roman" w:hAnsi="Times New Roman"/>
              </w:rPr>
              <w:fldChar w:fldCharType="end"/>
            </w:r>
            <w:r>
              <w:rPr>
                <w:rFonts w:ascii="Times New Roman" w:hAnsi="Times New Roman"/>
                <w:shd w:val="clear" w:color="auto" w:fill="FFFFFF"/>
              </w:rPr>
              <w:t>、计算机工程系、经济管理系、建筑装饰系、采矿工程系、基础部、成人教育部等系部。现开设有</w:t>
            </w:r>
            <w:r>
              <w:fldChar w:fldCharType="begin"/>
            </w:r>
            <w:r>
              <w:instrText xml:space="preserve"> HYPERLINK "http://baike.so.com/doc/5635071.html" \t "_blank" </w:instrText>
            </w:r>
            <w:r>
              <w:fldChar w:fldCharType="separate"/>
            </w:r>
            <w:r>
              <w:rPr>
                <w:rFonts w:ascii="Times New Roman" w:hAnsi="Times New Roman"/>
              </w:rPr>
              <w:t>工程测量技术</w:t>
            </w:r>
            <w:r>
              <w:rPr>
                <w:rFonts w:ascii="Times New Roman" w:hAnsi="Times New Roman"/>
              </w:rPr>
              <w:fldChar w:fldCharType="end"/>
            </w:r>
            <w:r>
              <w:rPr>
                <w:rFonts w:ascii="Times New Roman" w:hAnsi="Times New Roman"/>
                <w:shd w:val="clear" w:color="auto" w:fill="FFFFFF"/>
              </w:rPr>
              <w:t>、数控技术及应用、汽车运用技术、建筑工程技术、旅游管理、会计（注册会计师方向）电子商务、工程造价、建筑工程管理、工程监理、计算机网络技术、软件技术、</w:t>
            </w:r>
            <w:r>
              <w:fldChar w:fldCharType="begin"/>
            </w:r>
            <w:r>
              <w:instrText xml:space="preserve"> HYPERLINK "http://baike.so.com/doc/5415016.html" \t "_blank" </w:instrText>
            </w:r>
            <w:r>
              <w:fldChar w:fldCharType="separate"/>
            </w:r>
            <w:r>
              <w:rPr>
                <w:rFonts w:ascii="Times New Roman" w:hAnsi="Times New Roman"/>
              </w:rPr>
              <w:t>电子信息工程技术</w:t>
            </w:r>
            <w:r>
              <w:rPr>
                <w:rFonts w:ascii="Times New Roman" w:hAnsi="Times New Roman"/>
              </w:rPr>
              <w:fldChar w:fldCharType="end"/>
            </w:r>
            <w:r>
              <w:rPr>
                <w:rFonts w:ascii="Times New Roman" w:hAnsi="Times New Roman"/>
                <w:shd w:val="clear" w:color="auto" w:fill="FFFFFF"/>
              </w:rPr>
              <w:t>、电气自动化技术、</w:t>
            </w:r>
            <w:r>
              <w:fldChar w:fldCharType="begin"/>
            </w:r>
            <w:r>
              <w:instrText xml:space="preserve"> HYPERLINK "http://baike.so.com/doc/5414467.html" \t "_blank" </w:instrText>
            </w:r>
            <w:r>
              <w:fldChar w:fldCharType="separate"/>
            </w:r>
            <w:r>
              <w:rPr>
                <w:rFonts w:ascii="Times New Roman" w:hAnsi="Times New Roman"/>
              </w:rPr>
              <w:t>机电一体化技术</w:t>
            </w:r>
            <w:r>
              <w:rPr>
                <w:rFonts w:ascii="Times New Roman" w:hAnsi="Times New Roman"/>
              </w:rPr>
              <w:fldChar w:fldCharType="end"/>
            </w:r>
            <w:r>
              <w:rPr>
                <w:rFonts w:ascii="Times New Roman" w:hAnsi="Times New Roman"/>
                <w:shd w:val="clear" w:color="auto" w:fill="FFFFFF"/>
              </w:rPr>
              <w:t>等专业。</w:t>
            </w:r>
          </w:p>
          <w:p>
            <w:pPr>
              <w:jc w:val="left"/>
              <w:rPr>
                <w:rFonts w:ascii="Times New Roman" w:hAnsi="Times New Roman"/>
                <w:shd w:val="clear" w:color="auto" w:fill="FFFFFF"/>
              </w:rPr>
            </w:pP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学院教学设施先进，建有现代化语音室，能同时播送23套电教节目的闭路电视教学系统，120个多媒体教室，计算机中心拥有计算机近千台。建有信息化程度较高的具备</w:t>
            </w:r>
            <w:r>
              <w:fldChar w:fldCharType="begin"/>
            </w:r>
            <w:r>
              <w:instrText xml:space="preserve"> HYPERLINK "http://baike.so.com/doc/5409767.html" \t "_blank" </w:instrText>
            </w:r>
            <w:r>
              <w:fldChar w:fldCharType="separate"/>
            </w:r>
            <w:r>
              <w:rPr>
                <w:rFonts w:ascii="Times New Roman" w:hAnsi="Times New Roman"/>
              </w:rPr>
              <w:t>教学管理</w:t>
            </w:r>
            <w:r>
              <w:rPr>
                <w:rFonts w:ascii="Times New Roman" w:hAnsi="Times New Roman"/>
              </w:rPr>
              <w:fldChar w:fldCharType="end"/>
            </w:r>
            <w:r>
              <w:rPr>
                <w:rFonts w:ascii="Times New Roman" w:hAnsi="Times New Roman"/>
                <w:shd w:val="clear" w:color="auto" w:fill="FFFFFF"/>
              </w:rPr>
              <w:t>和信息交流，并用宽带与国际互联网联网的校园网。图书馆拥有藏书29万多册，中外期刊600多种并有电子阅览室。学院还拥有一座年产值达1600万元的实习工厂和60多个校外实习基地，学院教学设施一应俱全。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22</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江西应用工程职业学院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江西应用工程职业学院系一所具有光荣</w:t>
            </w:r>
            <w:r>
              <w:fldChar w:fldCharType="begin"/>
            </w:r>
            <w:r>
              <w:instrText xml:space="preserve"> HYPERLINK "http://baike.so.com/doc/3451443.html" \t "_blank" </w:instrText>
            </w:r>
            <w:r>
              <w:fldChar w:fldCharType="separate"/>
            </w:r>
            <w:r>
              <w:rPr>
                <w:rFonts w:ascii="Times New Roman" w:hAnsi="Times New Roman"/>
              </w:rPr>
              <w:t>历史</w:t>
            </w:r>
            <w:r>
              <w:rPr>
                <w:rFonts w:ascii="Times New Roman" w:hAnsi="Times New Roman"/>
              </w:rPr>
              <w:fldChar w:fldCharType="end"/>
            </w:r>
            <w:r>
              <w:rPr>
                <w:rFonts w:ascii="Times New Roman" w:hAnsi="Times New Roman"/>
                <w:shd w:val="clear" w:color="auto" w:fill="FFFFFF"/>
              </w:rPr>
              <w:t>和</w:t>
            </w:r>
            <w:r>
              <w:fldChar w:fldCharType="begin"/>
            </w:r>
            <w:r>
              <w:instrText xml:space="preserve"> HYPERLINK "http://baike.so.com/doc/6788600.html" \t "_blank" </w:instrText>
            </w:r>
            <w:r>
              <w:fldChar w:fldCharType="separate"/>
            </w:r>
            <w:r>
              <w:rPr>
                <w:rFonts w:ascii="Times New Roman" w:hAnsi="Times New Roman"/>
              </w:rPr>
              <w:t>革命</w:t>
            </w:r>
            <w:r>
              <w:rPr>
                <w:rFonts w:ascii="Times New Roman" w:hAnsi="Times New Roman"/>
              </w:rPr>
              <w:fldChar w:fldCharType="end"/>
            </w:r>
            <w:r>
              <w:rPr>
                <w:rFonts w:ascii="Times New Roman" w:hAnsi="Times New Roman"/>
                <w:shd w:val="clear" w:color="auto" w:fill="FFFFFF"/>
              </w:rPr>
              <w:t>传统的公办普通高等</w:t>
            </w:r>
            <w:r>
              <w:fldChar w:fldCharType="begin"/>
            </w:r>
            <w:r>
              <w:instrText xml:space="preserve"> HYPERLINK "http://baike.so.com/doc/2972604.html" \t "_blank" </w:instrText>
            </w:r>
            <w:r>
              <w:fldChar w:fldCharType="separate"/>
            </w:r>
            <w:r>
              <w:rPr>
                <w:rFonts w:ascii="Times New Roman" w:hAnsi="Times New Roman"/>
              </w:rPr>
              <w:t>学校</w:t>
            </w:r>
            <w:r>
              <w:rPr>
                <w:rFonts w:ascii="Times New Roman" w:hAnsi="Times New Roman"/>
              </w:rPr>
              <w:fldChar w:fldCharType="end"/>
            </w:r>
            <w:r>
              <w:rPr>
                <w:rFonts w:ascii="Times New Roman" w:hAnsi="Times New Roman"/>
                <w:shd w:val="clear" w:color="auto" w:fill="FFFFFF"/>
              </w:rPr>
              <w:t>。1999年列入江西省首批高职招生院校，后经</w:t>
            </w:r>
            <w:r>
              <w:fldChar w:fldCharType="begin"/>
            </w:r>
            <w:r>
              <w:instrText xml:space="preserve"> HYPERLINK "http://baike.so.com/doc/4216246.html" \t "_blank" </w:instrText>
            </w:r>
            <w:r>
              <w:fldChar w:fldCharType="separate"/>
            </w:r>
            <w:r>
              <w:rPr>
                <w:rFonts w:ascii="Times New Roman" w:hAnsi="Times New Roman"/>
              </w:rPr>
              <w:t>江西省人民政府</w:t>
            </w:r>
            <w:r>
              <w:rPr>
                <w:rFonts w:ascii="Times New Roman" w:hAnsi="Times New Roman"/>
              </w:rPr>
              <w:fldChar w:fldCharType="end"/>
            </w:r>
            <w:r>
              <w:rPr>
                <w:rFonts w:ascii="Times New Roman" w:hAnsi="Times New Roman"/>
                <w:shd w:val="clear" w:color="auto" w:fill="FFFFFF"/>
              </w:rPr>
              <w:t>批准为江西应用工程职业学院。现开设了</w:t>
            </w:r>
            <w:r>
              <w:fldChar w:fldCharType="begin"/>
            </w:r>
            <w:r>
              <w:instrText xml:space="preserve"> HYPERLINK "http://baike.so.com/doc/1312255.html" \t "_blank" </w:instrText>
            </w:r>
            <w:r>
              <w:fldChar w:fldCharType="separate"/>
            </w:r>
            <w:r>
              <w:rPr>
                <w:rFonts w:ascii="Times New Roman" w:hAnsi="Times New Roman"/>
              </w:rPr>
              <w:t>计算机技术</w:t>
            </w:r>
            <w:r>
              <w:rPr>
                <w:rFonts w:ascii="Times New Roman" w:hAnsi="Times New Roman"/>
              </w:rPr>
              <w:fldChar w:fldCharType="end"/>
            </w:r>
            <w:r>
              <w:rPr>
                <w:rFonts w:ascii="Times New Roman" w:hAnsi="Times New Roman"/>
                <w:shd w:val="clear" w:color="auto" w:fill="FFFFFF"/>
              </w:rPr>
              <w:t>应用、</w:t>
            </w:r>
            <w:r>
              <w:fldChar w:fldCharType="begin"/>
            </w:r>
            <w:r>
              <w:instrText xml:space="preserve"> HYPERLINK "http://baike.so.com/doc/1794211.html" \t "_blank" </w:instrText>
            </w:r>
            <w:r>
              <w:fldChar w:fldCharType="separate"/>
            </w:r>
            <w:r>
              <w:rPr>
                <w:rFonts w:ascii="Times New Roman" w:hAnsi="Times New Roman"/>
              </w:rPr>
              <w:t>计算机网络技术</w:t>
            </w:r>
            <w:r>
              <w:rPr>
                <w:rFonts w:ascii="Times New Roman" w:hAnsi="Times New Roman"/>
              </w:rPr>
              <w:fldChar w:fldCharType="end"/>
            </w:r>
            <w:r>
              <w:rPr>
                <w:rFonts w:ascii="Times New Roman" w:hAnsi="Times New Roman"/>
                <w:shd w:val="clear" w:color="auto" w:fill="FFFFFF"/>
              </w:rPr>
              <w:t>、计算机软件技术、</w:t>
            </w:r>
            <w:r>
              <w:fldChar w:fldCharType="begin"/>
            </w:r>
            <w:r>
              <w:instrText xml:space="preserve"> HYPERLINK "http://baike.so.com/doc/5417978.html" \t "_blank" </w:instrText>
            </w:r>
            <w:r>
              <w:fldChar w:fldCharType="separate"/>
            </w:r>
            <w:r>
              <w:rPr>
                <w:rFonts w:ascii="Times New Roman" w:hAnsi="Times New Roman"/>
              </w:rPr>
              <w:t>计算机信息管理</w:t>
            </w:r>
            <w:r>
              <w:rPr>
                <w:rFonts w:ascii="Times New Roman" w:hAnsi="Times New Roman"/>
              </w:rPr>
              <w:fldChar w:fldCharType="end"/>
            </w:r>
            <w:r>
              <w:rPr>
                <w:rFonts w:ascii="Times New Roman" w:hAnsi="Times New Roman"/>
                <w:shd w:val="clear" w:color="auto" w:fill="FFFFFF"/>
              </w:rPr>
              <w:t>、机电一体化、</w:t>
            </w:r>
            <w:r>
              <w:fldChar w:fldCharType="begin"/>
            </w:r>
            <w:r>
              <w:instrText xml:space="preserve"> HYPERLINK "http://baike.so.com/doc/6304661.html" \t "_blank" </w:instrText>
            </w:r>
            <w:r>
              <w:fldChar w:fldCharType="separate"/>
            </w:r>
            <w:r>
              <w:rPr>
                <w:rFonts w:ascii="Times New Roman" w:hAnsi="Times New Roman"/>
              </w:rPr>
              <w:t>制冷技术</w:t>
            </w:r>
            <w:r>
              <w:rPr>
                <w:rFonts w:ascii="Times New Roman" w:hAnsi="Times New Roman"/>
              </w:rPr>
              <w:fldChar w:fldCharType="end"/>
            </w:r>
            <w:r>
              <w:rPr>
                <w:rFonts w:ascii="Times New Roman" w:hAnsi="Times New Roman"/>
                <w:shd w:val="clear" w:color="auto" w:fill="FFFFFF"/>
              </w:rPr>
              <w:t>应用、</w:t>
            </w:r>
            <w:r>
              <w:fldChar w:fldCharType="begin"/>
            </w:r>
            <w:r>
              <w:instrText xml:space="preserve"> HYPERLINK "http://baike.so.com/doc/5634320.html" \t "_blank" </w:instrText>
            </w:r>
            <w:r>
              <w:fldChar w:fldCharType="separate"/>
            </w:r>
            <w:r>
              <w:rPr>
                <w:rFonts w:ascii="Times New Roman" w:hAnsi="Times New Roman"/>
              </w:rPr>
              <w:t>采矿工程</w:t>
            </w:r>
            <w:r>
              <w:rPr>
                <w:rFonts w:ascii="Times New Roman" w:hAnsi="Times New Roman"/>
              </w:rPr>
              <w:fldChar w:fldCharType="end"/>
            </w:r>
            <w:r>
              <w:rPr>
                <w:rFonts w:ascii="Times New Roman" w:hAnsi="Times New Roman"/>
                <w:shd w:val="clear" w:color="auto" w:fill="FFFFFF"/>
              </w:rPr>
              <w:t>、工业与民用建筑、企业管理、经济管理、财会、文秘、物业管理、</w:t>
            </w:r>
            <w:r>
              <w:fldChar w:fldCharType="begin"/>
            </w:r>
            <w:r>
              <w:instrText xml:space="preserve"> HYPERLINK "http://baike.so.com/doc/5397262.html" \t "_blank" </w:instrText>
            </w:r>
            <w:r>
              <w:fldChar w:fldCharType="separate"/>
            </w:r>
            <w:r>
              <w:rPr>
                <w:rFonts w:ascii="Times New Roman" w:hAnsi="Times New Roman"/>
              </w:rPr>
              <w:t>电子技术应用</w:t>
            </w:r>
            <w:r>
              <w:rPr>
                <w:rFonts w:ascii="Times New Roman" w:hAnsi="Times New Roman"/>
              </w:rPr>
              <w:fldChar w:fldCharType="end"/>
            </w:r>
            <w:r>
              <w:rPr>
                <w:rFonts w:ascii="Times New Roman" w:hAnsi="Times New Roman"/>
                <w:shd w:val="clear" w:color="auto" w:fill="FFFFFF"/>
              </w:rPr>
              <w:t>、地质与测量、</w:t>
            </w:r>
            <w:r>
              <w:fldChar w:fldCharType="begin"/>
            </w:r>
            <w:r>
              <w:instrText xml:space="preserve"> HYPERLINK "http://baike.so.com/doc/5566960.html" \t "_blank" </w:instrText>
            </w:r>
            <w:r>
              <w:fldChar w:fldCharType="separate"/>
            </w:r>
            <w:r>
              <w:rPr>
                <w:rFonts w:ascii="Times New Roman" w:hAnsi="Times New Roman"/>
              </w:rPr>
              <w:t>安全工程</w:t>
            </w:r>
            <w:r>
              <w:rPr>
                <w:rFonts w:ascii="Times New Roman" w:hAnsi="Times New Roman"/>
              </w:rPr>
              <w:fldChar w:fldCharType="end"/>
            </w:r>
            <w:r>
              <w:rPr>
                <w:rFonts w:ascii="Times New Roman" w:hAnsi="Times New Roman"/>
                <w:shd w:val="clear" w:color="auto" w:fill="FFFFFF"/>
              </w:rPr>
              <w:t>等专业。</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教学设施先进完备，有多媒体电教中心和闭路电视系统，设有调频广播台，每间教室都有彩电，实施电化教学，建有信息化程度较高的校园网和现代化语音室。有24个实验室和22个实习实验操作间的教学大楼，可同时容纳12个专业1400人进行技能操作训练。现代化的教学楼、实验实训中心及标准化公寓，网球场室内篮球场等</w:t>
            </w:r>
            <w:r>
              <w:fldChar w:fldCharType="begin"/>
            </w:r>
            <w:r>
              <w:instrText xml:space="preserve"> HYPERLINK "http://baike.so.com/doc/93024.html" \t "_blank" </w:instrText>
            </w:r>
            <w:r>
              <w:fldChar w:fldCharType="separate"/>
            </w:r>
            <w:r>
              <w:rPr>
                <w:rFonts w:ascii="Times New Roman" w:hAnsi="Times New Roman"/>
              </w:rPr>
              <w:t>运动</w:t>
            </w:r>
            <w:r>
              <w:rPr>
                <w:rFonts w:ascii="Times New Roman" w:hAnsi="Times New Roman"/>
              </w:rPr>
              <w:fldChar w:fldCharType="end"/>
            </w:r>
            <w:r>
              <w:rPr>
                <w:rFonts w:ascii="Times New Roman" w:hAnsi="Times New Roman"/>
                <w:shd w:val="clear" w:color="auto" w:fill="FFFFFF"/>
              </w:rPr>
              <w:t>场地，为学生创造了良好的学习和生活环境。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23</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安徽矿业职业技术学院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学院现有</w:t>
            </w:r>
            <w:r>
              <w:fldChar w:fldCharType="begin"/>
            </w:r>
            <w:r>
              <w:instrText xml:space="preserve"> HYPERLINK "http://baike.so.com/doc/6739799.html" \t "_blank" </w:instrText>
            </w:r>
            <w:r>
              <w:fldChar w:fldCharType="separate"/>
            </w:r>
            <w:r>
              <w:rPr>
                <w:rFonts w:ascii="Times New Roman" w:hAnsi="Times New Roman"/>
              </w:rPr>
              <w:t>机电工程系</w:t>
            </w:r>
            <w:r>
              <w:rPr>
                <w:rFonts w:ascii="Times New Roman" w:hAnsi="Times New Roman"/>
              </w:rPr>
              <w:fldChar w:fldCharType="end"/>
            </w:r>
            <w:r>
              <w:rPr>
                <w:rFonts w:ascii="Times New Roman" w:hAnsi="Times New Roman"/>
                <w:shd w:val="clear" w:color="auto" w:fill="FFFFFF"/>
              </w:rPr>
              <w:t>、能源工程系、</w:t>
            </w:r>
            <w:r>
              <w:fldChar w:fldCharType="begin"/>
            </w:r>
            <w:r>
              <w:instrText xml:space="preserve"> HYPERLINK "http://baike.so.com/doc/6738404.html" \t "_blank" </w:instrText>
            </w:r>
            <w:r>
              <w:fldChar w:fldCharType="separate"/>
            </w:r>
            <w:r>
              <w:rPr>
                <w:rFonts w:ascii="Times New Roman" w:hAnsi="Times New Roman"/>
              </w:rPr>
              <w:t>电子与信息工程</w:t>
            </w:r>
            <w:r>
              <w:rPr>
                <w:rFonts w:ascii="Times New Roman" w:hAnsi="Times New Roman"/>
              </w:rPr>
              <w:fldChar w:fldCharType="end"/>
            </w:r>
            <w:r>
              <w:rPr>
                <w:rFonts w:ascii="Times New Roman" w:hAnsi="Times New Roman"/>
                <w:shd w:val="clear" w:color="auto" w:fill="FFFFFF"/>
              </w:rPr>
              <w:t>系、公共课教学部、培训部、成教处、实训中心等教学单位。</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拥有东西两个校区，拥有教学楼、学术报告厅、电教馆、餐饮洗浴大楼、标准化学生公寓和价值3000多万元的实习实训设备。学院有电工、电子、PLC、液压、通风等40多个实验室和语音室、大型微机室；有矿机、矿电、机电修配、数控、钳工、家电等6个实习实训车间（楼），校外实习实训基地20个；主要教学仪器设备3000余台件；有纸质图书8万余册，电子版图书1.5万册以上，建有电子图书系统、校园一卡通和计算机网络服务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rPr>
              <w:t>24</w:t>
            </w:r>
          </w:p>
        </w:tc>
        <w:tc>
          <w:tcPr>
            <w:tcW w:w="9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rPr>
            </w:pPr>
            <w:r>
              <w:rPr>
                <w:rFonts w:ascii="Times New Roman" w:hAnsi="Times New Roman"/>
              </w:rPr>
              <w:t>淮南职业技术学院</w:t>
            </w:r>
          </w:p>
        </w:tc>
        <w:tc>
          <w:tcPr>
            <w:tcW w:w="38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淮南职业技术学院是淮南矿业集团主办，经安徽省人民政府批准，教育部备案的一所高等职业技术学院。学院现有11个教学单位：采矿工程系、通风安全系、煤矿机电系、信息与电气工程系、工程管理系、经济管理系、医学系、基础部、技工部（实习厂、技能鉴定站）、安全培训中心、继续教育部。</w:t>
            </w:r>
          </w:p>
        </w:tc>
        <w:tc>
          <w:tcPr>
            <w:tcW w:w="406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hd w:val="clear" w:color="auto" w:fill="FFFFFF"/>
              </w:rPr>
            </w:pPr>
            <w:r>
              <w:rPr>
                <w:rFonts w:ascii="Times New Roman" w:hAnsi="Times New Roman"/>
                <w:shd w:val="clear" w:color="auto" w:fill="FFFFFF"/>
              </w:rPr>
              <w:t>学院现有两个校区，占地总面积680亩，总建筑面积15.4万平方米。拥有52个实验室，高职教学仪器设备总值1600多万元。图书馆现有建筑面积3000平方米，藏书50万册（含26万册电子图书）。建筑面积7400多平方米的新图书馆已在2004年10月份投入使用。投资100多万元的校园网前期工程已经完成并开通。学院还建有计算机网络中心、多媒体教室和语音室、室外运动场等教学和体育设施。</w:t>
            </w:r>
          </w:p>
        </w:tc>
      </w:tr>
    </w:tbl>
    <w:p>
      <w:pPr>
        <w:pStyle w:val="16"/>
        <w:spacing w:line="360" w:lineRule="auto"/>
        <w:ind w:firstLine="480"/>
        <w:rPr>
          <w:rFonts w:ascii="Times New Roman" w:hAnsi="Times New Roman" w:eastAsia="仿宋_GB2312" w:cs="Times New Roman"/>
          <w:sz w:val="30"/>
          <w:szCs w:val="30"/>
        </w:rPr>
      </w:pPr>
      <w:r>
        <w:rPr>
          <w:rFonts w:ascii="Times New Roman" w:hAnsi="Times New Roman" w:cs="Times New Roman"/>
          <w:sz w:val="24"/>
          <w:szCs w:val="24"/>
        </w:rPr>
        <w:br w:type="page"/>
      </w:r>
    </w:p>
    <w:p>
      <w:pPr>
        <w:jc w:val="left"/>
        <w:outlineLvl w:val="0"/>
        <w:rPr>
          <w:rFonts w:ascii="Times New Roman" w:hAnsi="Times New Roman" w:eastAsia="仿宋_GB2312"/>
          <w:b/>
          <w:bCs/>
          <w:spacing w:val="-18"/>
          <w:sz w:val="28"/>
          <w:szCs w:val="30"/>
        </w:rPr>
      </w:pPr>
      <w:bookmarkStart w:id="105" w:name="_Toc423019143"/>
      <w:r>
        <w:rPr>
          <w:rFonts w:ascii="Times New Roman" w:hAnsi="Times New Roman" w:eastAsia="仿宋_GB2312"/>
          <w:b/>
          <w:bCs/>
          <w:spacing w:val="-18"/>
          <w:sz w:val="28"/>
          <w:szCs w:val="30"/>
        </w:rPr>
        <w:t>附件7  煤炭学院试点学习中心（点）落实计划表（煤炭远教网会员企业类）</w:t>
      </w:r>
      <w:bookmarkEnd w:id="105"/>
    </w:p>
    <w:tbl>
      <w:tblPr>
        <w:tblStyle w:val="21"/>
        <w:tblW w:w="9429" w:type="dxa"/>
        <w:tblInd w:w="-106" w:type="dxa"/>
        <w:tblLayout w:type="fixed"/>
        <w:tblCellMar>
          <w:top w:w="0" w:type="dxa"/>
          <w:left w:w="108" w:type="dxa"/>
          <w:bottom w:w="0" w:type="dxa"/>
          <w:right w:w="108" w:type="dxa"/>
        </w:tblCellMar>
      </w:tblPr>
      <w:tblGrid>
        <w:gridCol w:w="732"/>
        <w:gridCol w:w="1560"/>
        <w:gridCol w:w="4046"/>
        <w:gridCol w:w="3091"/>
      </w:tblGrid>
      <w:tr>
        <w:tblPrEx>
          <w:tblCellMar>
            <w:top w:w="0" w:type="dxa"/>
            <w:left w:w="108" w:type="dxa"/>
            <w:bottom w:w="0" w:type="dxa"/>
            <w:right w:w="108" w:type="dxa"/>
          </w:tblCellMar>
        </w:tblPrEx>
        <w:trPr>
          <w:trHeight w:val="499" w:hRule="atLeast"/>
        </w:trPr>
        <w:tc>
          <w:tcPr>
            <w:tcW w:w="732" w:type="dxa"/>
            <w:tcBorders>
              <w:top w:val="single" w:color="auto" w:sz="8" w:space="0"/>
              <w:left w:val="single" w:color="auto" w:sz="4" w:space="0"/>
              <w:bottom w:val="single" w:color="auto" w:sz="8" w:space="0"/>
              <w:right w:val="single" w:color="auto" w:sz="4" w:space="0"/>
            </w:tcBorders>
            <w:vAlign w:val="center"/>
          </w:tcPr>
          <w:p>
            <w:pPr>
              <w:widowControl/>
              <w:jc w:val="center"/>
              <w:rPr>
                <w:rFonts w:ascii="Times New Roman" w:hAnsi="Times New Roman" w:eastAsia="黑体"/>
                <w:b/>
                <w:kern w:val="0"/>
                <w:sz w:val="24"/>
              </w:rPr>
            </w:pPr>
            <w:r>
              <w:rPr>
                <w:rFonts w:ascii="Times New Roman" w:hAnsi="Times New Roman" w:eastAsia="黑体"/>
                <w:b/>
                <w:kern w:val="0"/>
                <w:sz w:val="24"/>
              </w:rPr>
              <w:t>序号</w:t>
            </w:r>
          </w:p>
        </w:tc>
        <w:tc>
          <w:tcPr>
            <w:tcW w:w="1560" w:type="dxa"/>
            <w:tcBorders>
              <w:top w:val="single" w:color="auto" w:sz="8" w:space="0"/>
              <w:left w:val="nil"/>
              <w:bottom w:val="single" w:color="auto" w:sz="8" w:space="0"/>
              <w:right w:val="single" w:color="auto" w:sz="8" w:space="0"/>
            </w:tcBorders>
            <w:vAlign w:val="center"/>
          </w:tcPr>
          <w:p>
            <w:pPr>
              <w:widowControl/>
              <w:jc w:val="center"/>
              <w:rPr>
                <w:rFonts w:ascii="Times New Roman" w:hAnsi="Times New Roman" w:eastAsia="黑体"/>
                <w:b/>
                <w:kern w:val="0"/>
                <w:sz w:val="24"/>
              </w:rPr>
            </w:pPr>
            <w:r>
              <w:rPr>
                <w:rFonts w:ascii="Times New Roman" w:hAnsi="Times New Roman" w:eastAsia="黑体"/>
                <w:b/>
                <w:kern w:val="0"/>
                <w:sz w:val="24"/>
              </w:rPr>
              <w:t>会员</w:t>
            </w:r>
          </w:p>
          <w:p>
            <w:pPr>
              <w:widowControl/>
              <w:jc w:val="center"/>
              <w:rPr>
                <w:rFonts w:ascii="Times New Roman" w:hAnsi="Times New Roman" w:eastAsia="黑体"/>
                <w:b/>
                <w:kern w:val="0"/>
                <w:sz w:val="24"/>
              </w:rPr>
            </w:pPr>
            <w:r>
              <w:rPr>
                <w:rFonts w:ascii="Times New Roman" w:hAnsi="Times New Roman" w:eastAsia="黑体"/>
                <w:b/>
                <w:kern w:val="0"/>
                <w:sz w:val="24"/>
              </w:rPr>
              <w:t>企业名称</w:t>
            </w:r>
          </w:p>
        </w:tc>
        <w:tc>
          <w:tcPr>
            <w:tcW w:w="4046" w:type="dxa"/>
            <w:tcBorders>
              <w:top w:val="single" w:color="auto" w:sz="8" w:space="0"/>
              <w:left w:val="nil"/>
              <w:bottom w:val="single" w:color="auto" w:sz="8" w:space="0"/>
              <w:right w:val="single" w:color="auto" w:sz="8" w:space="0"/>
            </w:tcBorders>
            <w:vAlign w:val="center"/>
          </w:tcPr>
          <w:p>
            <w:pPr>
              <w:widowControl/>
              <w:jc w:val="center"/>
              <w:rPr>
                <w:rFonts w:ascii="Times New Roman" w:hAnsi="Times New Roman" w:eastAsia="黑体"/>
                <w:b/>
                <w:kern w:val="0"/>
                <w:sz w:val="24"/>
              </w:rPr>
            </w:pPr>
            <w:r>
              <w:rPr>
                <w:rFonts w:ascii="Times New Roman" w:hAnsi="Times New Roman" w:eastAsia="黑体"/>
                <w:b/>
                <w:kern w:val="0"/>
                <w:sz w:val="24"/>
              </w:rPr>
              <w:t>单位性质及规模</w:t>
            </w:r>
          </w:p>
        </w:tc>
        <w:tc>
          <w:tcPr>
            <w:tcW w:w="3091" w:type="dxa"/>
            <w:tcBorders>
              <w:top w:val="single" w:color="auto" w:sz="8" w:space="0"/>
              <w:left w:val="nil"/>
              <w:bottom w:val="single" w:color="auto" w:sz="8" w:space="0"/>
              <w:right w:val="single" w:color="auto" w:sz="8" w:space="0"/>
            </w:tcBorders>
            <w:vAlign w:val="center"/>
          </w:tcPr>
          <w:p>
            <w:pPr>
              <w:widowControl/>
              <w:spacing w:line="360" w:lineRule="auto"/>
              <w:jc w:val="center"/>
              <w:rPr>
                <w:rFonts w:ascii="Times New Roman" w:hAnsi="Times New Roman" w:eastAsia="黑体"/>
                <w:b/>
                <w:kern w:val="0"/>
                <w:sz w:val="24"/>
              </w:rPr>
            </w:pPr>
            <w:r>
              <w:rPr>
                <w:rFonts w:ascii="Times New Roman" w:hAnsi="Times New Roman" w:eastAsia="黑体"/>
                <w:b/>
                <w:kern w:val="0"/>
                <w:sz w:val="24"/>
              </w:rPr>
              <w:t>教学与实训条件</w:t>
            </w:r>
          </w:p>
        </w:tc>
      </w:tr>
      <w:tr>
        <w:tblPrEx>
          <w:tblCellMar>
            <w:top w:w="0" w:type="dxa"/>
            <w:left w:w="108" w:type="dxa"/>
            <w:bottom w:w="0" w:type="dxa"/>
            <w:right w:w="108" w:type="dxa"/>
          </w:tblCellMar>
        </w:tblPrEx>
        <w:trPr>
          <w:trHeight w:val="3684"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w:t>
            </w:r>
          </w:p>
        </w:tc>
        <w:tc>
          <w:tcPr>
            <w:tcW w:w="1560" w:type="dxa"/>
            <w:tcBorders>
              <w:top w:val="single" w:color="auto" w:sz="4" w:space="0"/>
              <w:left w:val="nil"/>
              <w:bottom w:val="single" w:color="auto" w:sz="4" w:space="0"/>
              <w:right w:val="single" w:color="auto" w:sz="8" w:space="0"/>
            </w:tcBorders>
            <w:vAlign w:val="center"/>
          </w:tcPr>
          <w:p>
            <w:pPr>
              <w:widowControl/>
              <w:jc w:val="center"/>
              <w:rPr>
                <w:rFonts w:ascii="Times New Roman" w:hAnsi="Times New Roman"/>
                <w:shd w:val="clear" w:color="auto" w:fill="FFFFFF"/>
              </w:rPr>
            </w:pPr>
            <w:r>
              <w:rPr>
                <w:rFonts w:ascii="Times New Roman" w:hAnsi="Times New Roman"/>
                <w:shd w:val="clear" w:color="auto" w:fill="FFFFFF"/>
              </w:rPr>
              <w:t>神华集团神府东胜煤炭有限责任公司</w:t>
            </w:r>
          </w:p>
          <w:p>
            <w:pPr>
              <w:widowControl/>
              <w:jc w:val="center"/>
              <w:rPr>
                <w:rFonts w:ascii="Times New Roman" w:hAnsi="Times New Roman"/>
                <w:shd w:val="clear" w:color="auto" w:fill="FFFFFF"/>
              </w:rPr>
            </w:pPr>
            <w:r>
              <w:rPr>
                <w:rFonts w:ascii="Times New Roman" w:hAnsi="Times New Roman"/>
                <w:shd w:val="clear" w:color="auto" w:fill="FFFFFF"/>
              </w:rPr>
              <w:t>（榆林）</w:t>
            </w:r>
          </w:p>
        </w:tc>
        <w:tc>
          <w:tcPr>
            <w:tcW w:w="4046" w:type="dxa"/>
            <w:tcBorders>
              <w:top w:val="single" w:color="auto" w:sz="4" w:space="0"/>
              <w:left w:val="nil"/>
              <w:bottom w:val="single" w:color="auto" w:sz="4" w:space="0"/>
              <w:right w:val="single" w:color="auto" w:sz="8" w:space="0"/>
            </w:tcBorders>
            <w:vAlign w:val="center"/>
          </w:tcPr>
          <w:p>
            <w:pPr>
              <w:jc w:val="left"/>
              <w:rPr>
                <w:rFonts w:ascii="Times New Roman" w:hAnsi="Times New Roman"/>
                <w:shd w:val="clear" w:color="auto" w:fill="FFFFFF"/>
              </w:rPr>
            </w:pPr>
            <w:r>
              <w:rPr>
                <w:rFonts w:ascii="Times New Roman" w:hAnsi="Times New Roman"/>
                <w:shd w:val="clear" w:color="auto" w:fill="FFFFFF"/>
              </w:rPr>
              <w:t>神华集团神府东胜煤炭</w:t>
            </w:r>
            <w:r>
              <w:fldChar w:fldCharType="begin"/>
            </w:r>
            <w:r>
              <w:instrText xml:space="preserve"> HYPERLINK "http://baike.so.com/doc/3122637.html" \t "_blank" </w:instrText>
            </w:r>
            <w:r>
              <w:fldChar w:fldCharType="separate"/>
            </w:r>
            <w:r>
              <w:rPr>
                <w:rFonts w:ascii="Times New Roman" w:hAnsi="Times New Roman"/>
                <w:shd w:val="clear" w:color="auto" w:fill="FFFFFF"/>
              </w:rPr>
              <w:t>有限责任公司</w:t>
            </w:r>
            <w:r>
              <w:rPr>
                <w:rFonts w:ascii="Times New Roman" w:hAnsi="Times New Roman"/>
                <w:shd w:val="clear" w:color="auto" w:fill="FFFFFF"/>
              </w:rPr>
              <w:fldChar w:fldCharType="end"/>
            </w:r>
            <w:r>
              <w:rPr>
                <w:rFonts w:ascii="Times New Roman" w:hAnsi="Times New Roman"/>
                <w:shd w:val="clear" w:color="auto" w:fill="FFFFFF"/>
              </w:rPr>
              <w:t>是神华集团的全资子公司。2001年，在国家财政部等5部委对169家中央直管企业的综合</w:t>
            </w:r>
            <w:r>
              <w:fldChar w:fldCharType="begin"/>
            </w:r>
            <w:r>
              <w:instrText xml:space="preserve"> HYPERLINK "http://baike.so.com/doc/5425489.html" \t "_blank" </w:instrText>
            </w:r>
            <w:r>
              <w:fldChar w:fldCharType="separate"/>
            </w:r>
            <w:r>
              <w:rPr>
                <w:rFonts w:ascii="Times New Roman" w:hAnsi="Times New Roman"/>
                <w:shd w:val="clear" w:color="auto" w:fill="FFFFFF"/>
              </w:rPr>
              <w:t>绩效评价</w:t>
            </w:r>
            <w:r>
              <w:rPr>
                <w:rFonts w:ascii="Times New Roman" w:hAnsi="Times New Roman"/>
                <w:shd w:val="clear" w:color="auto" w:fill="FFFFFF"/>
              </w:rPr>
              <w:fldChar w:fldCharType="end"/>
            </w:r>
            <w:r>
              <w:rPr>
                <w:rFonts w:ascii="Times New Roman" w:hAnsi="Times New Roman"/>
                <w:shd w:val="clear" w:color="auto" w:fill="FFFFFF"/>
              </w:rPr>
              <w:t>中，神华集团位列第六，在煤炭企业中排名第一。神东煤炭公司主要负责开发经营神府东胜煤田骨干矿井及其配套项目。</w:t>
            </w:r>
          </w:p>
        </w:tc>
        <w:tc>
          <w:tcPr>
            <w:tcW w:w="3091" w:type="dxa"/>
            <w:tcBorders>
              <w:top w:val="single" w:color="auto" w:sz="4" w:space="0"/>
              <w:left w:val="nil"/>
              <w:bottom w:val="single" w:color="auto" w:sz="4" w:space="0"/>
              <w:right w:val="single" w:color="auto" w:sz="8" w:space="0"/>
            </w:tcBorders>
            <w:vAlign w:val="center"/>
          </w:tcPr>
          <w:p>
            <w:pPr>
              <w:jc w:val="left"/>
              <w:rPr>
                <w:rFonts w:ascii="Times New Roman" w:hAnsi="Times New Roman"/>
                <w:shd w:val="clear" w:color="auto" w:fill="FFFFFF"/>
              </w:rPr>
            </w:pPr>
            <w:r>
              <w:rPr>
                <w:rFonts w:ascii="Times New Roman" w:hAnsi="Times New Roman"/>
                <w:shd w:val="clear" w:color="auto" w:fill="FFFFFF"/>
              </w:rPr>
              <w:t>神东煤炭公司从成立起，就按照国家规定，成立了在就业中心并且赋予公司职工教育培训职能，使职工教育培训有了一个计划、组织与实施单位，并使此项工作纳入渠道。2003年，神东煤炭公司成立教育培训中心。教育培训中心三块牌子（教育培信中心、职业技能鉴定站、矿区安全技术培训中心）一个班子，同时肩负教育培训、职业技能鉴定、矿区安全技术培训三种职能。</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w:t>
            </w:r>
          </w:p>
        </w:tc>
        <w:tc>
          <w:tcPr>
            <w:tcW w:w="1560" w:type="dxa"/>
            <w:tcBorders>
              <w:top w:val="nil"/>
              <w:left w:val="nil"/>
              <w:bottom w:val="single" w:color="auto" w:sz="4" w:space="0"/>
              <w:right w:val="single" w:color="auto" w:sz="8" w:space="0"/>
            </w:tcBorders>
            <w:vAlign w:val="center"/>
          </w:tcPr>
          <w:p>
            <w:pPr>
              <w:widowControl/>
              <w:spacing w:line="340" w:lineRule="exact"/>
              <w:jc w:val="center"/>
              <w:rPr>
                <w:rFonts w:ascii="Times New Roman" w:hAnsi="Times New Roman"/>
                <w:shd w:val="clear" w:color="auto" w:fill="FFFFFF"/>
              </w:rPr>
            </w:pPr>
            <w:r>
              <w:rPr>
                <w:rFonts w:ascii="Times New Roman" w:hAnsi="Times New Roman"/>
                <w:shd w:val="clear" w:color="auto" w:fill="FFFFFF"/>
              </w:rPr>
              <w:t>神华集团宁夏煤业集团有限责任公司</w:t>
            </w:r>
          </w:p>
          <w:p>
            <w:pPr>
              <w:widowControl/>
              <w:spacing w:line="340" w:lineRule="exact"/>
              <w:jc w:val="center"/>
              <w:rPr>
                <w:rFonts w:ascii="Times New Roman" w:hAnsi="Times New Roman"/>
                <w:shd w:val="clear" w:color="auto" w:fill="FFFFFF"/>
              </w:rPr>
            </w:pPr>
            <w:r>
              <w:rPr>
                <w:rFonts w:ascii="Times New Roman" w:hAnsi="Times New Roman"/>
                <w:shd w:val="clear" w:color="auto" w:fill="FFFFFF"/>
              </w:rPr>
              <w:t>（银川）</w:t>
            </w:r>
          </w:p>
        </w:tc>
        <w:tc>
          <w:tcPr>
            <w:tcW w:w="4046" w:type="dxa"/>
            <w:tcBorders>
              <w:top w:val="nil"/>
              <w:left w:val="nil"/>
              <w:bottom w:val="single" w:color="auto" w:sz="4" w:space="0"/>
              <w:right w:val="single" w:color="auto" w:sz="8" w:space="0"/>
            </w:tcBorders>
            <w:vAlign w:val="center"/>
          </w:tcPr>
          <w:p>
            <w:pPr>
              <w:spacing w:line="340" w:lineRule="exact"/>
              <w:jc w:val="left"/>
              <w:rPr>
                <w:rFonts w:ascii="Times New Roman" w:hAnsi="Times New Roman"/>
                <w:shd w:val="clear" w:color="auto" w:fill="FFFFFF"/>
              </w:rPr>
            </w:pPr>
            <w:r>
              <w:fldChar w:fldCharType="begin"/>
            </w:r>
            <w:r>
              <w:instrText xml:space="preserve"> HYPERLINK "http://baike.so.com/doc/5106364.html" \t "_blank" </w:instrText>
            </w:r>
            <w:r>
              <w:fldChar w:fldCharType="separate"/>
            </w:r>
            <w:r>
              <w:rPr>
                <w:rFonts w:ascii="Times New Roman" w:hAnsi="Times New Roman"/>
                <w:shd w:val="clear" w:color="auto" w:fill="FFFFFF"/>
              </w:rPr>
              <w:t>神华宁夏煤业集团公司</w:t>
            </w:r>
            <w:r>
              <w:rPr>
                <w:rFonts w:ascii="Times New Roman" w:hAnsi="Times New Roman"/>
                <w:shd w:val="clear" w:color="auto" w:fill="FFFFFF"/>
              </w:rPr>
              <w:fldChar w:fldCharType="end"/>
            </w:r>
            <w:r>
              <w:rPr>
                <w:rFonts w:ascii="Times New Roman" w:hAnsi="Times New Roman"/>
                <w:shd w:val="clear" w:color="auto" w:fill="FFFFFF"/>
              </w:rPr>
              <w:t>是神华集团的控股子公司，也是</w:t>
            </w:r>
            <w:r>
              <w:fldChar w:fldCharType="begin"/>
            </w:r>
            <w:r>
              <w:instrText xml:space="preserve"> HYPERLINK "http://baike.so.com/doc/4950593.html" \t "_blank" </w:instrText>
            </w:r>
            <w:r>
              <w:fldChar w:fldCharType="separate"/>
            </w:r>
            <w:r>
              <w:rPr>
                <w:rFonts w:ascii="Times New Roman" w:hAnsi="Times New Roman"/>
                <w:shd w:val="clear" w:color="auto" w:fill="FFFFFF"/>
              </w:rPr>
              <w:t>宁夏</w:t>
            </w:r>
            <w:r>
              <w:rPr>
                <w:rFonts w:ascii="Times New Roman" w:hAnsi="Times New Roman"/>
                <w:shd w:val="clear" w:color="auto" w:fill="FFFFFF"/>
              </w:rPr>
              <w:fldChar w:fldCharType="end"/>
            </w:r>
            <w:r>
              <w:rPr>
                <w:rFonts w:ascii="Times New Roman" w:hAnsi="Times New Roman"/>
                <w:shd w:val="clear" w:color="auto" w:fill="FFFFFF"/>
              </w:rPr>
              <w:t>回族自治区优势骨干企业。 2002年12月，宁夏自治区党、政府将亘元、太西、灵州三大煤业集团和原宁煤集团公司深度重组成立了宁夏煤业集团有限责任公司。2006年1月，自治区政府又与神华集团和资合作，通过增资扩股方式组建了神华宁夏煤业集团有限责任公司。注册资本101亿元人民币，其中神华集团占51％，宁夏政府占49％。至2008年底资产总额达到468.88亿元。</w:t>
            </w:r>
          </w:p>
        </w:tc>
        <w:tc>
          <w:tcPr>
            <w:tcW w:w="3091" w:type="dxa"/>
            <w:tcBorders>
              <w:top w:val="nil"/>
              <w:left w:val="nil"/>
              <w:bottom w:val="single" w:color="auto" w:sz="4" w:space="0"/>
              <w:right w:val="single" w:color="auto" w:sz="8" w:space="0"/>
            </w:tcBorders>
            <w:vAlign w:val="center"/>
          </w:tcPr>
          <w:p>
            <w:pPr>
              <w:spacing w:line="340" w:lineRule="exact"/>
              <w:jc w:val="left"/>
              <w:rPr>
                <w:rFonts w:ascii="Times New Roman" w:hAnsi="Times New Roman"/>
                <w:shd w:val="clear" w:color="auto" w:fill="FFFFFF"/>
              </w:rPr>
            </w:pPr>
            <w:r>
              <w:rPr>
                <w:rFonts w:ascii="Times New Roman" w:hAnsi="Times New Roman"/>
                <w:shd w:val="clear" w:color="auto" w:fill="FFFFFF"/>
              </w:rPr>
              <w:t>神华宁夏煤业集团教育培训中心是神宁集团统管教育培训工作的专业化单位，成立于2011年1月，位于银川市西夏区，由宁夏工业职业学院、集团公司职工培训业务和技能鉴定业务整合而成。中心拥有银川综合实训基地、灵新煤矿采掘实训基地、太西洗煤厂洗选实训基地、甲醇厂煤化工实训基地和矿机公司设备维修5个实训基地。银川综合实训基地建有一流的综采综掘实训车间、机电设备实训车间，装备设施均为现代化煤矿的主流设备和设备，包括可单体及联合运转的综采综掘工作面和各类机电设备，可满足近20个工种员工实操基本功训练、工业职业学院主干专业学生校内实践性教学和10个工种职业技能鉴定工作的需要。多功能展示大厅可进行现代化煤矿建设布局、安全生产、灾害防治等直观性教学。</w:t>
            </w:r>
          </w:p>
          <w:p>
            <w:pPr>
              <w:spacing w:line="340" w:lineRule="exact"/>
              <w:jc w:val="left"/>
              <w:rPr>
                <w:rFonts w:ascii="Times New Roman" w:hAnsi="Times New Roman"/>
                <w:shd w:val="clear" w:color="auto" w:fill="FFFFFF"/>
              </w:rPr>
            </w:pPr>
          </w:p>
        </w:tc>
      </w:tr>
      <w:tr>
        <w:tblPrEx>
          <w:tblCellMar>
            <w:top w:w="0" w:type="dxa"/>
            <w:left w:w="108" w:type="dxa"/>
            <w:bottom w:w="0" w:type="dxa"/>
            <w:right w:w="108" w:type="dxa"/>
          </w:tblCellMar>
        </w:tblPrEx>
        <w:trPr>
          <w:trHeight w:val="409" w:hRule="atLeast"/>
        </w:trPr>
        <w:tc>
          <w:tcPr>
            <w:tcW w:w="73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w:t>
            </w:r>
          </w:p>
        </w:tc>
        <w:tc>
          <w:tcPr>
            <w:tcW w:w="1560" w:type="dxa"/>
            <w:tcBorders>
              <w:top w:val="single" w:color="auto" w:sz="4"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神华集团乌海能源有限责任公司</w:t>
            </w:r>
          </w:p>
          <w:p>
            <w:pPr>
              <w:widowControl/>
              <w:jc w:val="center"/>
              <w:rPr>
                <w:rFonts w:ascii="Times New Roman" w:hAnsi="Times New Roman"/>
                <w:kern w:val="0"/>
                <w:sz w:val="24"/>
              </w:rPr>
            </w:pPr>
            <w:r>
              <w:rPr>
                <w:rFonts w:ascii="Times New Roman" w:hAnsi="Times New Roman"/>
                <w:kern w:val="0"/>
                <w:sz w:val="24"/>
              </w:rPr>
              <w:t>（乌海）</w:t>
            </w:r>
          </w:p>
        </w:tc>
        <w:tc>
          <w:tcPr>
            <w:tcW w:w="4046" w:type="dxa"/>
            <w:tcBorders>
              <w:top w:val="single" w:color="auto" w:sz="4" w:space="0"/>
              <w:left w:val="nil"/>
              <w:bottom w:val="single" w:color="auto" w:sz="4" w:space="0"/>
              <w:right w:val="single" w:color="auto" w:sz="8" w:space="0"/>
            </w:tcBorders>
            <w:vAlign w:val="center"/>
          </w:tcPr>
          <w:p>
            <w:pPr>
              <w:jc w:val="left"/>
              <w:rPr>
                <w:rFonts w:ascii="Times New Roman" w:hAnsi="Times New Roman"/>
                <w:shd w:val="clear" w:color="auto" w:fill="FFFFFF"/>
              </w:rPr>
            </w:pPr>
            <w:r>
              <w:rPr>
                <w:rFonts w:ascii="Times New Roman" w:hAnsi="Times New Roman"/>
                <w:shd w:val="clear" w:color="auto" w:fill="FFFFFF"/>
              </w:rPr>
              <w:t>2008年10月26日原神华乌达矿业有限责任公司、海勃湾矿业有限责任公司、乌海煤焦化有限责任公司、蒙西煤化股份有限责任公司四家企业重组整合，成立了神华乌海能源有限责任公司。经过重组整合而成立的神华乌海能源有限责任公司是一个集焦煤生产、洗选、焦化、煤化工及矸石发电为一体的多元化新型能源企业，也是目前内蒙古最大的焦煤生产基地。</w:t>
            </w:r>
          </w:p>
        </w:tc>
        <w:tc>
          <w:tcPr>
            <w:tcW w:w="3091" w:type="dxa"/>
            <w:tcBorders>
              <w:top w:val="single" w:color="auto" w:sz="4" w:space="0"/>
              <w:left w:val="nil"/>
              <w:bottom w:val="single" w:color="auto" w:sz="4" w:space="0"/>
              <w:right w:val="single" w:color="auto" w:sz="8" w:space="0"/>
            </w:tcBorders>
            <w:vAlign w:val="center"/>
          </w:tcPr>
          <w:p>
            <w:pPr>
              <w:jc w:val="left"/>
              <w:rPr>
                <w:rFonts w:ascii="Times New Roman" w:hAnsi="Times New Roman"/>
                <w:shd w:val="clear" w:color="auto" w:fill="FFFFFF"/>
              </w:rPr>
            </w:pPr>
            <w:r>
              <w:rPr>
                <w:rFonts w:ascii="Times New Roman" w:hAnsi="Times New Roman"/>
                <w:shd w:val="clear" w:color="auto" w:fill="FFFFFF"/>
              </w:rPr>
              <w:t>拥有培训教育管理平台，数字化图书馆，远程教育，信息化培训练习，安全培训日常练习，技能鉴定等。</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河北省磁县申家庄煤矿</w:t>
            </w:r>
          </w:p>
          <w:p>
            <w:pPr>
              <w:widowControl/>
              <w:jc w:val="center"/>
              <w:rPr>
                <w:rFonts w:ascii="Times New Roman" w:hAnsi="Times New Roman"/>
                <w:kern w:val="0"/>
                <w:sz w:val="24"/>
              </w:rPr>
            </w:pPr>
            <w:r>
              <w:rPr>
                <w:rFonts w:ascii="Times New Roman" w:hAnsi="Times New Roman"/>
                <w:kern w:val="0"/>
                <w:sz w:val="24"/>
              </w:rPr>
              <w:t>（邯郸）</w:t>
            </w:r>
          </w:p>
        </w:tc>
        <w:tc>
          <w:tcPr>
            <w:tcW w:w="4046" w:type="dxa"/>
            <w:tcBorders>
              <w:top w:val="nil"/>
              <w:left w:val="nil"/>
              <w:bottom w:val="single" w:color="auto" w:sz="4" w:space="0"/>
              <w:right w:val="single" w:color="auto" w:sz="8" w:space="0"/>
            </w:tcBorders>
            <w:vAlign w:val="center"/>
          </w:tcPr>
          <w:p>
            <w:pPr>
              <w:jc w:val="left"/>
              <w:rPr>
                <w:rFonts w:ascii="Times New Roman" w:hAnsi="Times New Roman"/>
                <w:shd w:val="clear" w:color="auto" w:fill="FFFFFF"/>
              </w:rPr>
            </w:pPr>
            <w:r>
              <w:rPr>
                <w:rFonts w:ascii="Times New Roman" w:hAnsi="Times New Roman"/>
                <w:shd w:val="clear" w:color="auto" w:fill="FFFFFF"/>
              </w:rPr>
              <w:t>磁县申家庄煤矿位于河北省邯郸市磁县黄沙镇境内，属地方国有中型企业，1971年建井，1980年投产，矿井年设计生产能力21万吨，经过不断自我改造，实际年生产能力达到60万吨，还建有年入洗能力60万吨洗煤厂和2x6000KW的矸石发电厂，企业总投资1.35亿元，现有在岗职工1927人，井田面积5.l平方公里。</w:t>
            </w:r>
          </w:p>
        </w:tc>
        <w:tc>
          <w:tcPr>
            <w:tcW w:w="3091" w:type="dxa"/>
            <w:tcBorders>
              <w:top w:val="nil"/>
              <w:left w:val="nil"/>
              <w:bottom w:val="single" w:color="auto" w:sz="4" w:space="0"/>
              <w:right w:val="single" w:color="auto" w:sz="8" w:space="0"/>
            </w:tcBorders>
            <w:vAlign w:val="center"/>
          </w:tcPr>
          <w:p>
            <w:pPr>
              <w:jc w:val="left"/>
              <w:rPr>
                <w:rFonts w:ascii="Times New Roman" w:hAnsi="Times New Roman"/>
                <w:shd w:val="clear" w:color="auto" w:fill="FFFFFF"/>
              </w:rPr>
            </w:pPr>
            <w:r>
              <w:rPr>
                <w:rFonts w:ascii="Times New Roman" w:hAnsi="Times New Roman"/>
                <w:shd w:val="clear" w:color="auto" w:fill="FFFFFF"/>
              </w:rPr>
              <w:t>在职工文体生活方面，新建了3000多平方米的职工文体交流中心，配置了电视室、游戏室、图书室，电影放映、文艺团体演出场所。</w:t>
            </w:r>
          </w:p>
        </w:tc>
      </w:tr>
      <w:tr>
        <w:tblPrEx>
          <w:tblCellMar>
            <w:top w:w="0" w:type="dxa"/>
            <w:left w:w="108" w:type="dxa"/>
            <w:bottom w:w="0" w:type="dxa"/>
            <w:right w:w="108" w:type="dxa"/>
          </w:tblCellMar>
        </w:tblPrEx>
        <w:trPr>
          <w:trHeight w:val="4453"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河南能源化工集团永煤公司</w:t>
            </w:r>
          </w:p>
          <w:p>
            <w:pPr>
              <w:widowControl/>
              <w:jc w:val="center"/>
              <w:rPr>
                <w:rFonts w:ascii="Times New Roman" w:hAnsi="Times New Roman"/>
                <w:kern w:val="0"/>
                <w:sz w:val="24"/>
              </w:rPr>
            </w:pPr>
            <w:r>
              <w:rPr>
                <w:rFonts w:ascii="Times New Roman" w:hAnsi="Times New Roman"/>
                <w:kern w:val="0"/>
                <w:sz w:val="24"/>
              </w:rPr>
              <w:t>（永城）</w:t>
            </w:r>
          </w:p>
        </w:tc>
        <w:tc>
          <w:tcPr>
            <w:tcW w:w="4046" w:type="dxa"/>
            <w:tcBorders>
              <w:top w:val="nil"/>
              <w:left w:val="nil"/>
              <w:bottom w:val="single" w:color="auto" w:sz="4" w:space="0"/>
              <w:right w:val="single" w:color="auto" w:sz="8" w:space="0"/>
            </w:tcBorders>
            <w:vAlign w:val="center"/>
          </w:tcPr>
          <w:p>
            <w:pPr>
              <w:jc w:val="left"/>
              <w:rPr>
                <w:rFonts w:ascii="Times New Roman" w:hAnsi="Times New Roman"/>
                <w:shd w:val="clear" w:color="auto" w:fill="FFFFFF"/>
              </w:rPr>
            </w:pPr>
            <w:r>
              <w:rPr>
                <w:rFonts w:ascii="Times New Roman" w:hAnsi="Times New Roman"/>
                <w:shd w:val="clear" w:color="auto" w:fill="FFFFFF"/>
              </w:rPr>
              <w:t>永城煤电控股集团有限公司（以下简称永煤集团）是以煤炭、化工、有色金属、装备制造、物流贸易、建筑矿建、现代服务业等产业为主的大型企业集团，是河南省最大的工业企业——河南能源化工集团的下属骨干成员单位。</w:t>
            </w:r>
          </w:p>
        </w:tc>
        <w:tc>
          <w:tcPr>
            <w:tcW w:w="3091" w:type="dxa"/>
            <w:tcBorders>
              <w:top w:val="nil"/>
              <w:left w:val="nil"/>
              <w:bottom w:val="single" w:color="auto" w:sz="4" w:space="0"/>
              <w:right w:val="single" w:color="auto" w:sz="8" w:space="0"/>
            </w:tcBorders>
            <w:vAlign w:val="center"/>
          </w:tcPr>
          <w:p>
            <w:pPr>
              <w:jc w:val="left"/>
              <w:rPr>
                <w:rFonts w:ascii="Times New Roman" w:hAnsi="Times New Roman"/>
                <w:shd w:val="clear" w:color="auto" w:fill="FFFFFF"/>
              </w:rPr>
            </w:pPr>
            <w:r>
              <w:rPr>
                <w:rFonts w:ascii="Times New Roman" w:hAnsi="Times New Roman"/>
                <w:shd w:val="clear" w:color="auto" w:fill="FFFFFF"/>
              </w:rPr>
              <w:t>创新培养理念，把“培训作为员工最大的福利”，“创造一切条件，抓好员工培训！”。每年选拔优秀中高层管理人员到国内知名高校就读EMBA，选拔骨干管理人员研修MBA，选拔采矿、机电、化工等专业的骨干技术人员就读工程硕士，积极与与中国矿大、河南理工等高等院校开展相关专业培训项目合作；依托集团公司培训基地和相关培训机构，广泛开展生产岗位规范所需的专业技能提升培训。</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6</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河南能源化工集团焦煤公司</w:t>
            </w:r>
          </w:p>
          <w:p>
            <w:pPr>
              <w:widowControl/>
              <w:jc w:val="center"/>
              <w:rPr>
                <w:rFonts w:ascii="Times New Roman" w:hAnsi="Times New Roman"/>
                <w:kern w:val="0"/>
                <w:sz w:val="24"/>
              </w:rPr>
            </w:pPr>
            <w:r>
              <w:rPr>
                <w:rFonts w:ascii="Times New Roman" w:hAnsi="Times New Roman"/>
                <w:kern w:val="0"/>
                <w:sz w:val="24"/>
              </w:rPr>
              <w:t>（焦作）</w:t>
            </w:r>
          </w:p>
        </w:tc>
        <w:tc>
          <w:tcPr>
            <w:tcW w:w="4046" w:type="dxa"/>
            <w:tcBorders>
              <w:top w:val="nil"/>
              <w:left w:val="nil"/>
              <w:bottom w:val="single" w:color="auto" w:sz="4" w:space="0"/>
              <w:right w:val="single" w:color="auto" w:sz="8" w:space="0"/>
            </w:tcBorders>
            <w:vAlign w:val="center"/>
          </w:tcPr>
          <w:p>
            <w:pPr>
              <w:widowControl/>
              <w:jc w:val="left"/>
              <w:rPr>
                <w:rFonts w:ascii="Times New Roman" w:hAnsi="Times New Roman"/>
                <w:kern w:val="0"/>
                <w:sz w:val="24"/>
              </w:rPr>
            </w:pPr>
            <w:r>
              <w:rPr>
                <w:rFonts w:ascii="Times New Roman" w:hAnsi="Times New Roman"/>
                <w:shd w:val="clear" w:color="auto" w:fill="FFFFFF"/>
              </w:rPr>
              <w:t>焦作煤业集团是河南煤业化工集团主要成员企业之一。至今已经具有112年的开采历史。矿区地处</w:t>
            </w:r>
            <w:r>
              <w:fldChar w:fldCharType="begin"/>
            </w:r>
            <w:r>
              <w:instrText xml:space="preserve"> HYPERLINK "http://baike.so.com/doc/490757.html" \t "_blank" </w:instrText>
            </w:r>
            <w:r>
              <w:fldChar w:fldCharType="separate"/>
            </w:r>
            <w:r>
              <w:rPr>
                <w:rFonts w:ascii="Times New Roman" w:hAnsi="Times New Roman"/>
              </w:rPr>
              <w:t>河南省</w:t>
            </w:r>
            <w:r>
              <w:rPr>
                <w:rFonts w:ascii="Times New Roman" w:hAnsi="Times New Roman"/>
              </w:rPr>
              <w:fldChar w:fldCharType="end"/>
            </w:r>
            <w:r>
              <w:rPr>
                <w:rFonts w:ascii="Times New Roman" w:hAnsi="Times New Roman"/>
                <w:shd w:val="clear" w:color="auto" w:fill="FFFFFF"/>
              </w:rPr>
              <w:t>西北部，横跨洛阳、济源、焦作、新乡四个地市，是我国六大无烟煤生产基地之一，也是全国最早运用现代技术开采的四大煤矿之一。</w:t>
            </w:r>
            <w:r>
              <w:rPr>
                <w:rFonts w:ascii="Times New Roman" w:hAnsi="Times New Roman"/>
              </w:rPr>
              <w:t> </w:t>
            </w:r>
            <w:r>
              <w:rPr>
                <w:rFonts w:ascii="Times New Roman" w:hAnsi="Times New Roman"/>
                <w:shd w:val="clear" w:color="auto" w:fill="FFFFFF"/>
              </w:rPr>
              <w:t>焦作矿区煤炭储量丰富，含煤面积350平方公里，地质储量29亿吨。煤炭属中灰、低硫、高发热量、高固定碳、机械强度大、热稳定性好的优质无烟煤。</w:t>
            </w:r>
          </w:p>
        </w:tc>
        <w:tc>
          <w:tcPr>
            <w:tcW w:w="3091" w:type="dxa"/>
            <w:tcBorders>
              <w:top w:val="nil"/>
              <w:left w:val="nil"/>
              <w:bottom w:val="single" w:color="auto" w:sz="4" w:space="0"/>
              <w:right w:val="single" w:color="auto" w:sz="8" w:space="0"/>
            </w:tcBorders>
            <w:vAlign w:val="center"/>
          </w:tcPr>
          <w:p>
            <w:pPr>
              <w:jc w:val="left"/>
              <w:rPr>
                <w:rFonts w:ascii="Times New Roman" w:hAnsi="Times New Roman"/>
                <w:shd w:val="clear" w:color="auto" w:fill="FFFFFF"/>
              </w:rPr>
            </w:pPr>
            <w:r>
              <w:rPr>
                <w:rFonts w:ascii="Times New Roman" w:hAnsi="Times New Roman"/>
                <w:shd w:val="clear" w:color="auto" w:fill="FFFFFF"/>
              </w:rPr>
              <w:t>创新培养理念，把“培训作为员工最大的福利”，“创造一切条件，抓好员工培训！”。每年选拔优秀中高层管理人员到国内知名高校就读EMBA，选拔骨干管理人员研修MBA，选拔采矿、机电、化工等专业的骨干技术人员就读工程硕士，积极与中国矿大等高等院校开展相关专业培训项目合作；依托集团公司培训基地和相关培训机构，广泛开展生产岗位规范所需的专业技能提升培训。</w:t>
            </w:r>
          </w:p>
        </w:tc>
      </w:tr>
      <w:tr>
        <w:tblPrEx>
          <w:tblCellMar>
            <w:top w:w="0" w:type="dxa"/>
            <w:left w:w="108" w:type="dxa"/>
            <w:bottom w:w="0" w:type="dxa"/>
            <w:right w:w="108" w:type="dxa"/>
          </w:tblCellMar>
        </w:tblPrEx>
        <w:trPr>
          <w:trHeight w:val="409" w:hRule="atLeast"/>
        </w:trPr>
        <w:tc>
          <w:tcPr>
            <w:tcW w:w="73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7</w:t>
            </w:r>
          </w:p>
        </w:tc>
        <w:tc>
          <w:tcPr>
            <w:tcW w:w="1560" w:type="dxa"/>
            <w:tcBorders>
              <w:top w:val="single" w:color="auto" w:sz="4"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河南能源化工集团鹤煤公司</w:t>
            </w:r>
          </w:p>
          <w:p>
            <w:pPr>
              <w:widowControl/>
              <w:jc w:val="center"/>
              <w:rPr>
                <w:rFonts w:ascii="Times New Roman" w:hAnsi="Times New Roman"/>
                <w:kern w:val="0"/>
                <w:sz w:val="24"/>
              </w:rPr>
            </w:pPr>
            <w:r>
              <w:rPr>
                <w:rFonts w:ascii="Times New Roman" w:hAnsi="Times New Roman"/>
                <w:kern w:val="0"/>
                <w:sz w:val="24"/>
              </w:rPr>
              <w:t>（鹤壁）</w:t>
            </w:r>
          </w:p>
        </w:tc>
        <w:tc>
          <w:tcPr>
            <w:tcW w:w="4046" w:type="dxa"/>
            <w:tcBorders>
              <w:top w:val="single" w:color="auto" w:sz="4" w:space="0"/>
              <w:left w:val="nil"/>
              <w:bottom w:val="single" w:color="auto" w:sz="4" w:space="0"/>
              <w:right w:val="single" w:color="auto" w:sz="8" w:space="0"/>
            </w:tcBorders>
            <w:vAlign w:val="center"/>
          </w:tcPr>
          <w:p>
            <w:pPr>
              <w:widowControl/>
              <w:jc w:val="left"/>
              <w:rPr>
                <w:rFonts w:ascii="Times New Roman" w:hAnsi="Times New Roman"/>
                <w:kern w:val="0"/>
                <w:sz w:val="24"/>
              </w:rPr>
            </w:pPr>
            <w:r>
              <w:rPr>
                <w:rFonts w:ascii="Times New Roman" w:hAnsi="Times New Roman"/>
                <w:shd w:val="clear" w:color="auto" w:fill="FFFFFF"/>
              </w:rPr>
              <w:t>鹤煤集团的前身原</w:t>
            </w:r>
            <w:r>
              <w:fldChar w:fldCharType="begin"/>
            </w:r>
            <w:r>
              <w:instrText xml:space="preserve"> HYPERLINK "http://baike.sogou.com/lemma/ShowInnerLink.htm?lemmaId=42339&amp;ss_c=ssc.citiao.link" </w:instrText>
            </w:r>
            <w:r>
              <w:fldChar w:fldCharType="separate"/>
            </w:r>
            <w:r>
              <w:rPr>
                <w:rFonts w:ascii="Times New Roman" w:hAnsi="Times New Roman"/>
              </w:rPr>
              <w:t>鹤壁</w:t>
            </w:r>
            <w:r>
              <w:rPr>
                <w:rFonts w:ascii="Times New Roman" w:hAnsi="Times New Roman"/>
              </w:rPr>
              <w:fldChar w:fldCharType="end"/>
            </w:r>
            <w:r>
              <w:rPr>
                <w:rFonts w:ascii="Times New Roman" w:hAnsi="Times New Roman"/>
                <w:shd w:val="clear" w:color="auto" w:fill="FFFFFF"/>
              </w:rPr>
              <w:t>矿务局成立于1957年6月3日，1999年5月12日改制为鹤壁煤业（集团）有限责任公司。2008年12月5日，经河南省人民政府批准，鹤煤集团、</w:t>
            </w:r>
            <w:r>
              <w:fldChar w:fldCharType="begin"/>
            </w:r>
            <w:r>
              <w:instrText xml:space="preserve"> HYPERLINK "http://baike.sogou.com/lemma/ShowInnerLink.htm?lemmaId=293036&amp;ss_c=ssc.citiao.link" </w:instrText>
            </w:r>
            <w:r>
              <w:fldChar w:fldCharType="separate"/>
            </w:r>
            <w:r>
              <w:rPr>
                <w:rFonts w:ascii="Times New Roman" w:hAnsi="Times New Roman"/>
              </w:rPr>
              <w:t>焦煤</w:t>
            </w:r>
            <w:r>
              <w:rPr>
                <w:rFonts w:ascii="Times New Roman" w:hAnsi="Times New Roman"/>
              </w:rPr>
              <w:fldChar w:fldCharType="end"/>
            </w:r>
            <w:r>
              <w:rPr>
                <w:rFonts w:ascii="Times New Roman" w:hAnsi="Times New Roman"/>
                <w:shd w:val="clear" w:color="auto" w:fill="FFFFFF"/>
              </w:rPr>
              <w:t>集团、永煤集团、中原</w:t>
            </w:r>
            <w:r>
              <w:fldChar w:fldCharType="begin"/>
            </w:r>
            <w:r>
              <w:instrText xml:space="preserve"> HYPERLINK "http://baike.sogou.com/lemma/ShowInnerLink.htm?lemmaId=321170&amp;ss_c=ssc.citiao.link" </w:instrText>
            </w:r>
            <w:r>
              <w:fldChar w:fldCharType="separate"/>
            </w:r>
            <w:r>
              <w:rPr>
                <w:rFonts w:ascii="Times New Roman" w:hAnsi="Times New Roman"/>
              </w:rPr>
              <w:t>大化</w:t>
            </w:r>
            <w:r>
              <w:rPr>
                <w:rFonts w:ascii="Times New Roman" w:hAnsi="Times New Roman"/>
              </w:rPr>
              <w:fldChar w:fldCharType="end"/>
            </w:r>
            <w:r>
              <w:rPr>
                <w:rFonts w:ascii="Times New Roman" w:hAnsi="Times New Roman"/>
                <w:shd w:val="clear" w:color="auto" w:fill="FFFFFF"/>
              </w:rPr>
              <w:t>和省煤气化公司联合组建了“河南煤业化工集团有限责任公司”。</w:t>
            </w:r>
          </w:p>
        </w:tc>
        <w:tc>
          <w:tcPr>
            <w:tcW w:w="3091" w:type="dxa"/>
            <w:tcBorders>
              <w:top w:val="single" w:color="auto" w:sz="4" w:space="0"/>
              <w:left w:val="nil"/>
              <w:bottom w:val="single" w:color="auto" w:sz="4" w:space="0"/>
              <w:right w:val="single" w:color="auto" w:sz="8" w:space="0"/>
            </w:tcBorders>
            <w:vAlign w:val="center"/>
          </w:tcPr>
          <w:p>
            <w:pPr>
              <w:jc w:val="left"/>
              <w:rPr>
                <w:rFonts w:ascii="Times New Roman" w:hAnsi="Times New Roman"/>
                <w:shd w:val="clear" w:color="auto" w:fill="FFFFFF"/>
              </w:rPr>
            </w:pPr>
            <w:r>
              <w:rPr>
                <w:rFonts w:ascii="Times New Roman" w:hAnsi="Times New Roman"/>
                <w:shd w:val="clear" w:color="auto" w:fill="FFFFFF"/>
              </w:rPr>
              <w:t>创新培养理念，把“培训作为员工最大的福利”，“创造一切条件，抓好员工培训！”。每年选拔优秀中高层管理人员到国内知名高校就读EMBA，选拔骨干管理人员研修MBA，选拔采矿、机电、化工等专业的骨干技术人员就读工程硕士，积极与与中国矿大、河南理工等高等院校开展相关专业培训项目合作；依托集团公司培训基地和相关培训机构，广泛开展生产岗位规范所需的专业技能提升培训。</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8</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山西煤炭运销集团有限公司</w:t>
            </w:r>
          </w:p>
          <w:p>
            <w:pPr>
              <w:widowControl/>
              <w:jc w:val="center"/>
              <w:rPr>
                <w:rFonts w:ascii="Times New Roman" w:hAnsi="Times New Roman"/>
                <w:kern w:val="0"/>
                <w:sz w:val="24"/>
              </w:rPr>
            </w:pPr>
            <w:r>
              <w:rPr>
                <w:rFonts w:ascii="Times New Roman" w:hAnsi="Times New Roman"/>
                <w:kern w:val="0"/>
                <w:sz w:val="24"/>
              </w:rPr>
              <w:t>（太原）</w:t>
            </w:r>
          </w:p>
        </w:tc>
        <w:tc>
          <w:tcPr>
            <w:tcW w:w="4046" w:type="dxa"/>
            <w:tcBorders>
              <w:top w:val="nil"/>
              <w:left w:val="nil"/>
              <w:bottom w:val="single" w:color="auto" w:sz="4" w:space="0"/>
              <w:right w:val="single" w:color="auto" w:sz="8" w:space="0"/>
            </w:tcBorders>
            <w:vAlign w:val="center"/>
          </w:tcPr>
          <w:p>
            <w:pPr>
              <w:widowControl/>
              <w:jc w:val="left"/>
              <w:rPr>
                <w:rFonts w:ascii="Times New Roman" w:hAnsi="Times New Roman"/>
                <w:kern w:val="0"/>
                <w:sz w:val="24"/>
              </w:rPr>
            </w:pPr>
            <w:r>
              <w:rPr>
                <w:rFonts w:ascii="Times New Roman" w:hAnsi="Times New Roman"/>
                <w:shd w:val="clear" w:color="auto" w:fill="FFFFFF"/>
              </w:rPr>
              <w:t>山西煤炭运销集团有限公司于1983年由山西省人民政府设立，当时名为“山西省煤炭运销总公司”，其后于2007年改制。现时业务在国内经营煤炭物流营销、焦炭化工、装备制造、房地产、贵金属，而旗下上市公司包括太原理工天成科技股份有限公司、必美宜集团有限公司。总部位于中国山西太原开化寺街82号，邮政编码为030002，董事长和总裁为刘建中。在2012年7月，被美国财富杂志全球500强获排名为447位。</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山西煤销集团一贯重视人力资源开发管理，通过调入、聘用、兼职、合作等多种引才引智形式，广泛吸纳专业人才，加大教育培训力度，推进全员培训和岗位技能培训。加强业绩考核，实行绩效奖励。建立以法人考核为重点，以机关部室考核为支撑的绩效考核机制。</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9</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山东能源集团有限公司新汶矿业集团有限责任公司</w:t>
            </w:r>
          </w:p>
          <w:p>
            <w:pPr>
              <w:widowControl/>
              <w:jc w:val="center"/>
              <w:rPr>
                <w:rFonts w:ascii="Times New Roman" w:hAnsi="Times New Roman"/>
              </w:rPr>
            </w:pPr>
            <w:r>
              <w:rPr>
                <w:rFonts w:ascii="Times New Roman" w:hAnsi="Times New Roman"/>
                <w:kern w:val="0"/>
                <w:sz w:val="24"/>
              </w:rPr>
              <w:t>（新汶）</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是一家以煤炭、煤化工、装备制造、现代服务业为主体产业的大型企业集团，现为“世界500强”企业山东能源集团最大子公司。集团总部位于山东省新泰市境内，现有员工9.7万余人，资产总额951亿元。</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集团建设拥有国家级企业技术中心、机械产品再制造国家工程研究中心、煤矿充填开采国家工程实验室以及博士后科研工作站、泰山学者岗位和院士工作站等技术创新平台。</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10</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山东能源集团有限公司淄博矿业集团有限责任公司</w:t>
            </w:r>
          </w:p>
          <w:p>
            <w:pPr>
              <w:widowControl/>
              <w:jc w:val="center"/>
              <w:rPr>
                <w:rFonts w:ascii="Times New Roman" w:hAnsi="Times New Roman"/>
              </w:rPr>
            </w:pPr>
            <w:r>
              <w:rPr>
                <w:rFonts w:ascii="Times New Roman" w:hAnsi="Times New Roman"/>
                <w:kern w:val="0"/>
                <w:sz w:val="24"/>
              </w:rPr>
              <w:t>（淄博）</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山东能源淄矿集团公司是山东能源集团权属企业之一，经营范围涉及煤炭、医疗健康、建材、新材料等多个产业，主要生产经营单位分布在鲁、陕、蒙三省区的淄博、济南、济宁、咸阳、鄂尔多斯等五个地市，总部坐落在聊斋故里淄博市淄川区。现有职工2万多人。</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学院有1个安全展室、8个多媒体教室、1个校园网、22个实训车间、1个煤矿安全技术实训基地、3个煤矿生产模拟车间、4个微机室。是“淄博市下岗职工再就业培训基地”、“山东省计算机应用能力等级考核指定培训点和中心考场”、国家二级煤矿安全技术培训机构形成了技校、干校、职工中专、职业中专、大专一体化和中高级、长短期培训及职业技能鉴定为一体的办学新格局。</w:t>
            </w: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11</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山东能源集团有限公司肥城矿业集团有限责任公司</w:t>
            </w:r>
          </w:p>
          <w:p>
            <w:pPr>
              <w:widowControl/>
              <w:jc w:val="center"/>
              <w:rPr>
                <w:rFonts w:ascii="Times New Roman" w:hAnsi="Times New Roman"/>
              </w:rPr>
            </w:pPr>
            <w:r>
              <w:rPr>
                <w:rFonts w:ascii="Times New Roman" w:hAnsi="Times New Roman"/>
                <w:kern w:val="0"/>
                <w:sz w:val="24"/>
              </w:rPr>
              <w:t>（肥城）</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2010年成为山东能源集团六家权属矿业集团之一。系国有大型一类企业，位列中国企业500强，中国产品质量信用500强，国家重点扶持的512家国有重点企业，全国煤炭百强企业，银行认可资信“AAA”级，企业质量信用“AAA”。</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技师学院先后建设并装备了电子电工电拖、可控自动编程等二十多个专业试验室以及电工、钳工、焊接、数控、综采、综掘等十多个实习车间，并建有外通互联网的校园网，教室均建为多媒体教室。图书室藏书6万册，满足了教学、学习需要。</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12</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开滦（集团）有限责任公司</w:t>
            </w:r>
          </w:p>
          <w:p>
            <w:pPr>
              <w:widowControl/>
              <w:jc w:val="center"/>
              <w:rPr>
                <w:rFonts w:ascii="Times New Roman" w:hAnsi="Times New Roman"/>
                <w:kern w:val="0"/>
                <w:sz w:val="24"/>
              </w:rPr>
            </w:pPr>
            <w:r>
              <w:rPr>
                <w:rFonts w:ascii="Times New Roman" w:hAnsi="Times New Roman"/>
                <w:kern w:val="0"/>
                <w:sz w:val="24"/>
              </w:rPr>
              <w:t>（唐山）</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开滦（集团）有限责任公司始建于1878年，为国有特大型煤炭企业，2011年在全国500强中名列第91名，三年前进200名，是河北省目前第二大煤炭企业，由河北省人民政府</w:t>
            </w:r>
            <w:r>
              <w:fldChar w:fldCharType="begin"/>
            </w:r>
            <w:r>
              <w:instrText xml:space="preserve"> HYPERLINK "http://baike.so.com/doc/5512115.html" \t "_blank" </w:instrText>
            </w:r>
            <w:r>
              <w:fldChar w:fldCharType="separate"/>
            </w:r>
            <w:r>
              <w:rPr>
                <w:rFonts w:ascii="Times New Roman" w:hAnsi="Times New Roman"/>
                <w:shd w:val="clear" w:color="auto" w:fill="FFFFFF"/>
              </w:rPr>
              <w:t>国有资产</w:t>
            </w:r>
            <w:r>
              <w:rPr>
                <w:rFonts w:ascii="Times New Roman" w:hAnsi="Times New Roman"/>
                <w:shd w:val="clear" w:color="auto" w:fill="FFFFFF"/>
              </w:rPr>
              <w:fldChar w:fldCharType="end"/>
            </w:r>
            <w:r>
              <w:rPr>
                <w:rFonts w:ascii="Times New Roman" w:hAnsi="Times New Roman"/>
                <w:shd w:val="clear" w:color="auto" w:fill="FFFFFF"/>
              </w:rPr>
              <w:t>监督管理委员会直接监管。</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开滦集团公司安全技术培训中心具有国家二级安全培训机构资质，承担煤矿、非煤矿山、危险化学品行业主要负责人、安全管理人员及特种作业人员的培训。每年完成各类安全培训量达一万多人次，另外还承担着开滦三、四级安全培训机构的行业管理职能。</w:t>
            </w:r>
          </w:p>
        </w:tc>
      </w:tr>
      <w:tr>
        <w:tblPrEx>
          <w:tblCellMar>
            <w:top w:w="0" w:type="dxa"/>
            <w:left w:w="108" w:type="dxa"/>
            <w:bottom w:w="0" w:type="dxa"/>
            <w:right w:w="108" w:type="dxa"/>
          </w:tblCellMar>
        </w:tblPrEx>
        <w:trPr>
          <w:trHeight w:val="4298"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13</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山西焦煤西山煤电（集团）有限责任公司</w:t>
            </w:r>
          </w:p>
          <w:p>
            <w:pPr>
              <w:widowControl/>
              <w:jc w:val="center"/>
              <w:rPr>
                <w:rFonts w:ascii="Times New Roman" w:hAnsi="Times New Roman"/>
                <w:kern w:val="0"/>
                <w:sz w:val="24"/>
              </w:rPr>
            </w:pPr>
            <w:r>
              <w:rPr>
                <w:rFonts w:ascii="Times New Roman" w:hAnsi="Times New Roman"/>
                <w:kern w:val="0"/>
                <w:sz w:val="24"/>
              </w:rPr>
              <w:t>（太原）</w:t>
            </w:r>
          </w:p>
        </w:tc>
        <w:tc>
          <w:tcPr>
            <w:tcW w:w="4046" w:type="dxa"/>
            <w:tcBorders>
              <w:top w:val="nil"/>
              <w:left w:val="nil"/>
              <w:bottom w:val="single" w:color="auto" w:sz="4" w:space="0"/>
              <w:right w:val="single" w:color="auto" w:sz="8" w:space="0"/>
            </w:tcBorders>
            <w:vAlign w:val="center"/>
          </w:tcPr>
          <w:p>
            <w:pPr>
              <w:widowControl/>
              <w:spacing w:line="300" w:lineRule="atLeast"/>
              <w:jc w:val="center"/>
              <w:rPr>
                <w:rFonts w:ascii="Times New Roman" w:hAnsi="Times New Roman"/>
                <w:kern w:val="0"/>
                <w:sz w:val="24"/>
              </w:rPr>
            </w:pPr>
            <w:r>
              <w:rPr>
                <w:rFonts w:ascii="Times New Roman" w:hAnsi="Times New Roman"/>
                <w:bCs/>
              </w:rPr>
              <w:t>山西焦煤西山煤电（集团）有限责任公司</w:t>
            </w:r>
            <w:r>
              <w:rPr>
                <w:rFonts w:ascii="Times New Roman" w:hAnsi="Times New Roman"/>
                <w:shd w:val="clear" w:color="auto" w:fill="FFFFFF"/>
              </w:rPr>
              <w:t>（简称西山煤电），其前身为成立于1956年的西山矿务局，现为山西焦煤集团的主要子公司，全国最大的炼焦煤生产基地，全国首批循环经济试点单位。所属176个子分公司分布于4省（市）9个地市20余个县区，产业涉及煤炭、电力、焦炭化工、建筑建材、物流贸易、餐饮服务等领域。</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bCs/>
              </w:rPr>
              <w:t>安培中心下设四科一室，即教务科、电教科、学管科、总务科、办公室。现有教职工91人，其中，教师12人。中心占地面积18000平方米，建筑面积为7356.6平方米，其中，教室13间1136.6平方米，实习场地413平方米，学员住宿普通间3446平方米，标准间住宿楼936平方米，食堂1305平方米。设计规模为同期在校590人。配备有相应的食堂、学员住宿楼及电教室、实验室、实习场地。</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14</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山西焦煤汾西矿业（集团）有限责任公司</w:t>
            </w:r>
          </w:p>
          <w:p>
            <w:pPr>
              <w:widowControl/>
              <w:jc w:val="center"/>
              <w:rPr>
                <w:rFonts w:ascii="Times New Roman" w:hAnsi="Times New Roman"/>
                <w:kern w:val="0"/>
                <w:sz w:val="24"/>
              </w:rPr>
            </w:pPr>
            <w:r>
              <w:rPr>
                <w:rFonts w:ascii="Times New Roman" w:hAnsi="Times New Roman"/>
                <w:kern w:val="0"/>
                <w:sz w:val="24"/>
              </w:rPr>
              <w:t>（介休）</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山西焦煤汾西矿业(集团)有限责任公司前身是汾西矿务局，成立于1956年1月，2000年8月经山西省人民政府批准，进行了公司制改造，2001年10月加入山西焦煤集团公司，2005年底，由山西焦煤集团、中国信达资产管理公司、中国华融资产管理公司、中国建设银行股份有限公司共同出资重组。</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汾西矿业集团公司积极优化教育资源配置，于2006年6月将原来分属3个单位管理的职工学校、职教培训、</w:t>
            </w:r>
            <w:r>
              <w:fldChar w:fldCharType="begin"/>
            </w:r>
            <w:r>
              <w:instrText xml:space="preserve"> HYPERLINK "http://baike.so.com/doc/2789554.html" \t "_blank" </w:instrText>
            </w:r>
            <w:r>
              <w:fldChar w:fldCharType="separate"/>
            </w:r>
            <w:r>
              <w:rPr>
                <w:rFonts w:ascii="Times New Roman" w:hAnsi="Times New Roman"/>
              </w:rPr>
              <w:t>职业技能鉴定</w:t>
            </w:r>
            <w:r>
              <w:rPr>
                <w:rFonts w:ascii="Times New Roman" w:hAnsi="Times New Roman"/>
              </w:rPr>
              <w:fldChar w:fldCharType="end"/>
            </w:r>
            <w:r>
              <w:rPr>
                <w:rFonts w:ascii="Times New Roman" w:hAnsi="Times New Roman"/>
                <w:shd w:val="clear" w:color="auto" w:fill="FFFFFF"/>
              </w:rPr>
              <w:t>、煤化技师学院、高级技工学校、党校、安全技术培训中心等机构进行资源整合，成立了由集团公司党委书记任校长的员工学校，融中、高级</w:t>
            </w:r>
            <w:r>
              <w:fldChar w:fldCharType="begin"/>
            </w:r>
            <w:r>
              <w:instrText xml:space="preserve"> HYPERLINK "http://baike.so.com/doc/5408129.html" \t "_blank" </w:instrText>
            </w:r>
            <w:r>
              <w:fldChar w:fldCharType="separate"/>
            </w:r>
            <w:r>
              <w:rPr>
                <w:rFonts w:ascii="Times New Roman" w:hAnsi="Times New Roman"/>
              </w:rPr>
              <w:t>职业技术教育</w:t>
            </w:r>
            <w:r>
              <w:rPr>
                <w:rFonts w:ascii="Times New Roman" w:hAnsi="Times New Roman"/>
              </w:rPr>
              <w:fldChar w:fldCharType="end"/>
            </w:r>
            <w:r>
              <w:rPr>
                <w:rFonts w:ascii="Times New Roman" w:hAnsi="Times New Roman"/>
                <w:shd w:val="clear" w:color="auto" w:fill="FFFFFF"/>
              </w:rPr>
              <w:t>、各级各类职工培训、</w:t>
            </w:r>
            <w:r>
              <w:fldChar w:fldCharType="begin"/>
            </w:r>
            <w:r>
              <w:instrText xml:space="preserve"> HYPERLINK "http://baike.so.com/doc/5409632.html" \t "_blank" </w:instrText>
            </w:r>
            <w:r>
              <w:fldChar w:fldCharType="separate"/>
            </w:r>
            <w:r>
              <w:rPr>
                <w:rFonts w:ascii="Times New Roman" w:hAnsi="Times New Roman"/>
              </w:rPr>
              <w:t>成人高等教育</w:t>
            </w:r>
            <w:r>
              <w:rPr>
                <w:rFonts w:ascii="Times New Roman" w:hAnsi="Times New Roman"/>
              </w:rPr>
              <w:fldChar w:fldCharType="end"/>
            </w:r>
            <w:r>
              <w:rPr>
                <w:rFonts w:ascii="Times New Roman" w:hAnsi="Times New Roman"/>
                <w:shd w:val="clear" w:color="auto" w:fill="FFFFFF"/>
              </w:rPr>
              <w:t>、职业技能鉴定于一体。</w:t>
            </w:r>
          </w:p>
          <w:p>
            <w:pPr>
              <w:widowControl/>
              <w:spacing w:line="300" w:lineRule="atLeast"/>
              <w:jc w:val="left"/>
              <w:rPr>
                <w:rFonts w:ascii="Times New Roman" w:hAnsi="Times New Roman"/>
                <w:shd w:val="clear" w:color="auto" w:fill="FFFFFF"/>
              </w:rPr>
            </w:pPr>
          </w:p>
          <w:p>
            <w:pPr>
              <w:widowControl/>
              <w:spacing w:line="300" w:lineRule="atLeast"/>
              <w:jc w:val="left"/>
              <w:rPr>
                <w:rFonts w:ascii="Times New Roman" w:hAnsi="Times New Roman"/>
                <w:kern w:val="0"/>
                <w:sz w:val="24"/>
              </w:rPr>
            </w:pP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15</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山西焦煤霍州煤电（集团）有限责任公司</w:t>
            </w:r>
          </w:p>
          <w:p>
            <w:pPr>
              <w:widowControl/>
              <w:jc w:val="center"/>
              <w:rPr>
                <w:rFonts w:ascii="Times New Roman" w:hAnsi="Times New Roman"/>
                <w:kern w:val="0"/>
                <w:sz w:val="24"/>
              </w:rPr>
            </w:pPr>
            <w:r>
              <w:rPr>
                <w:rFonts w:ascii="Times New Roman" w:hAnsi="Times New Roman"/>
                <w:kern w:val="0"/>
                <w:sz w:val="24"/>
              </w:rPr>
              <w:t>（霍州）</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rPr>
                <w:rFonts w:ascii="Times New Roman" w:hAnsi="Times New Roman"/>
                <w:kern w:val="0"/>
                <w:sz w:val="24"/>
              </w:rPr>
            </w:pPr>
            <w:r>
              <w:rPr>
                <w:rFonts w:ascii="Times New Roman" w:hAnsi="Times New Roman"/>
                <w:shd w:val="clear" w:color="auto" w:fill="FFFFFF"/>
              </w:rPr>
              <w:t>霍州煤电集团公司是山西省三大煤炭基地之一的晋中基地内一个大型骨干煤矿，也是晋南最大的省属国有重点煤炭企业。公司已有47年的发展历史，前身霍州矿务局始建于1958年，2000年底改制为霍州煤电集团有限责任公司，2001年10月同西山煤电、汾西矿业等联合组建山西焦煤集团公司，为山西焦煤集团公司的子公司。</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依托战略国际全球领先的专业技术和营运经验，做好培训工作。</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16</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华晋焦煤有限责任公司</w:t>
            </w:r>
          </w:p>
          <w:p>
            <w:pPr>
              <w:widowControl/>
              <w:jc w:val="center"/>
              <w:rPr>
                <w:rFonts w:ascii="Times New Roman" w:hAnsi="Times New Roman"/>
                <w:kern w:val="0"/>
                <w:sz w:val="24"/>
              </w:rPr>
            </w:pPr>
            <w:r>
              <w:rPr>
                <w:rFonts w:ascii="Times New Roman" w:hAnsi="Times New Roman"/>
                <w:kern w:val="0"/>
                <w:sz w:val="24"/>
              </w:rPr>
              <w:t>（吕梁）</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pacing w:val="8"/>
              </w:rPr>
            </w:pPr>
            <w:r>
              <w:rPr>
                <w:rFonts w:ascii="Times New Roman" w:hAnsi="Times New Roman"/>
                <w:shd w:val="clear" w:color="auto" w:fill="FFFFFF"/>
              </w:rPr>
              <w:t>华晋焦煤有限责任公司成立于1992年4月，2011年4月按照山西省人民政府办公厅〔2011〕19次会议纪要精神，分立为现在的华晋焦煤有限责任公司和山西中煤华晋能源有限责任公司。公司由山西焦煤集团控股 51%，中国中煤能源股份有限公司持股49%，是国有大型主焦煤生产企业，主要开发建设山西河东煤田的离柳矿区和乡宁矿区。经营煤炭开采、加工、技术开发与服务、瓦斯发电等业务。</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pacing w:val="8"/>
              </w:rPr>
            </w:pPr>
            <w:r>
              <w:rPr>
                <w:rFonts w:ascii="Times New Roman" w:hAnsi="Times New Roman"/>
                <w:shd w:val="clear" w:color="auto" w:fill="FFFFFF"/>
              </w:rPr>
              <w:t>2011年，华晋焦煤在职工培训工作中以安全培训为重点，形成一支具有优秀高级管理人才、经营管理人才、科技人才、党群工作人才和高技能人才队伍。华晋焦煤培训总人数15869人次，重点开展煤矿、地面生产单位“三项岗位人员”安全技术初（复）训工作，组织新招井下、地面职工岗前安全资格培训和已上岗人员安全资格、操作资格初（复）训工作，确保全员培训率达100%；强化对矿处级经营管理人员领导决策、安全技术技能、人力资源、资本运营等知识更新培训；分系统、分专业加强对科级及以下技术人员岗位适应业务培训；为王家岭项目投产前准备技术和操作人员培训。</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17</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山西潞安矿业（集团）有限责任公司</w:t>
            </w:r>
          </w:p>
          <w:p>
            <w:pPr>
              <w:widowControl/>
              <w:jc w:val="center"/>
              <w:rPr>
                <w:rFonts w:ascii="Times New Roman" w:hAnsi="Times New Roman"/>
                <w:kern w:val="0"/>
                <w:sz w:val="24"/>
              </w:rPr>
            </w:pPr>
            <w:r>
              <w:rPr>
                <w:rFonts w:ascii="Times New Roman" w:hAnsi="Times New Roman"/>
                <w:kern w:val="0"/>
                <w:sz w:val="24"/>
              </w:rPr>
              <w:t>（长治）</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山西省属七大煤炭企业集团之一，是以煤为基、多元发展的能源企业集团。截止2013年底，潞安集团共有二级子公司78个，其中控股子公司56个，参股子公司22个；总资产1523亿元。2013年，煤炭产量8878万吨，全年营业收入1987.9亿元，工业增加值382亿元，利润6.07亿元。在世界500强中排名430位。</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潞安高技能人才教育培训基地于2011年在全省首家挂牌，由中央财政、省财政及潞安集团支持建设，总投资4000多万元，建筑面积5000多平方米，拥有各类实训实验室23个，模拟仿真实训设备200台（套），同期可容纳2000人培训。</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18</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大同煤矿集团有限责任公司</w:t>
            </w:r>
          </w:p>
          <w:p>
            <w:pPr>
              <w:widowControl/>
              <w:jc w:val="center"/>
              <w:rPr>
                <w:rFonts w:ascii="Times New Roman" w:hAnsi="Times New Roman"/>
                <w:kern w:val="0"/>
                <w:sz w:val="24"/>
              </w:rPr>
            </w:pPr>
            <w:r>
              <w:rPr>
                <w:rFonts w:ascii="Times New Roman" w:hAnsi="Times New Roman"/>
                <w:kern w:val="0"/>
                <w:sz w:val="24"/>
              </w:rPr>
              <w:t>（大同）</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大同煤矿集团</w:t>
            </w:r>
            <w:r>
              <w:fldChar w:fldCharType="begin"/>
            </w:r>
            <w:r>
              <w:instrText xml:space="preserve"> HYPERLINK "http://baike.so.com/doc/3122637.html" \t "_blank" </w:instrText>
            </w:r>
            <w:r>
              <w:fldChar w:fldCharType="separate"/>
            </w:r>
            <w:r>
              <w:rPr>
                <w:rFonts w:ascii="Times New Roman" w:hAnsi="Times New Roman"/>
              </w:rPr>
              <w:t>有限责任公司</w:t>
            </w:r>
            <w:r>
              <w:rPr>
                <w:rFonts w:ascii="Times New Roman" w:hAnsi="Times New Roman"/>
              </w:rPr>
              <w:fldChar w:fldCharType="end"/>
            </w:r>
            <w:r>
              <w:rPr>
                <w:rFonts w:ascii="Times New Roman" w:hAnsi="Times New Roman"/>
                <w:shd w:val="clear" w:color="auto" w:fill="FFFFFF"/>
              </w:rPr>
              <w:t>（以下简称“</w:t>
            </w:r>
            <w:r>
              <w:fldChar w:fldCharType="begin"/>
            </w:r>
            <w:r>
              <w:instrText xml:space="preserve"> HYPERLINK "http://baike.so.com/doc/5567010.html" \t "_blank" </w:instrText>
            </w:r>
            <w:r>
              <w:fldChar w:fldCharType="separate"/>
            </w:r>
            <w:r>
              <w:rPr>
                <w:rFonts w:ascii="Times New Roman" w:hAnsi="Times New Roman"/>
              </w:rPr>
              <w:t>集团公司</w:t>
            </w:r>
            <w:r>
              <w:rPr>
                <w:rFonts w:ascii="Times New Roman" w:hAnsi="Times New Roman"/>
              </w:rPr>
              <w:fldChar w:fldCharType="end"/>
            </w:r>
            <w:r>
              <w:rPr>
                <w:rFonts w:ascii="Times New Roman" w:hAnsi="Times New Roman"/>
                <w:shd w:val="clear" w:color="auto" w:fill="FFFFFF"/>
              </w:rPr>
              <w:t>”）是由原大同矿务局在2000年7月改制设立的国有</w:t>
            </w:r>
            <w:r>
              <w:fldChar w:fldCharType="begin"/>
            </w:r>
            <w:r>
              <w:instrText xml:space="preserve"> HYPERLINK "http://baike.so.com/doc/6061500.html" \t "_blank" </w:instrText>
            </w:r>
            <w:r>
              <w:fldChar w:fldCharType="separate"/>
            </w:r>
            <w:r>
              <w:rPr>
                <w:rFonts w:ascii="Times New Roman" w:hAnsi="Times New Roman"/>
              </w:rPr>
              <w:t>独资</w:t>
            </w:r>
            <w:r>
              <w:rPr>
                <w:rFonts w:ascii="Times New Roman" w:hAnsi="Times New Roman"/>
              </w:rPr>
              <w:fldChar w:fldCharType="end"/>
            </w:r>
            <w:r>
              <w:rPr>
                <w:rFonts w:ascii="Times New Roman" w:hAnsi="Times New Roman"/>
                <w:shd w:val="clear" w:color="auto" w:fill="FFFFFF"/>
              </w:rPr>
              <w:t>公司，其</w:t>
            </w:r>
            <w:r>
              <w:fldChar w:fldCharType="begin"/>
            </w:r>
            <w:r>
              <w:instrText xml:space="preserve"> HYPERLINK "http://baike.so.com/doc/1019524.html" \t "_blank" </w:instrText>
            </w:r>
            <w:r>
              <w:fldChar w:fldCharType="separate"/>
            </w:r>
            <w:r>
              <w:rPr>
                <w:rFonts w:ascii="Times New Roman" w:hAnsi="Times New Roman"/>
              </w:rPr>
              <w:t>注册资本</w:t>
            </w:r>
            <w:r>
              <w:rPr>
                <w:rFonts w:ascii="Times New Roman" w:hAnsi="Times New Roman"/>
              </w:rPr>
              <w:fldChar w:fldCharType="end"/>
            </w:r>
            <w:r>
              <w:rPr>
                <w:rFonts w:ascii="Times New Roman" w:hAnsi="Times New Roman"/>
                <w:shd w:val="clear" w:color="auto" w:fill="FFFFFF"/>
              </w:rPr>
              <w:t>为人民币叁拾伍亿叁仟叁佰零捌万元。集团公司是全国煤炭行业的特大型</w:t>
            </w:r>
            <w:r>
              <w:fldChar w:fldCharType="begin"/>
            </w:r>
            <w:r>
              <w:instrText xml:space="preserve"> HYPERLINK "http://baike.so.com/doc/4115400.html" \t "_blank" </w:instrText>
            </w:r>
            <w:r>
              <w:fldChar w:fldCharType="separate"/>
            </w:r>
            <w:r>
              <w:rPr>
                <w:rFonts w:ascii="Times New Roman" w:hAnsi="Times New Roman"/>
              </w:rPr>
              <w:t>企业</w:t>
            </w:r>
            <w:r>
              <w:rPr>
                <w:rFonts w:ascii="Times New Roman" w:hAnsi="Times New Roman"/>
              </w:rPr>
              <w:fldChar w:fldCharType="end"/>
            </w:r>
            <w:r>
              <w:rPr>
                <w:rFonts w:ascii="Times New Roman" w:hAnsi="Times New Roman"/>
                <w:shd w:val="clear" w:color="auto" w:fill="FFFFFF"/>
              </w:rPr>
              <w:t>、国家512户重点企业之一，也是国家120家大型企业集团试点</w:t>
            </w:r>
            <w:r>
              <w:fldChar w:fldCharType="begin"/>
            </w:r>
            <w:r>
              <w:instrText xml:space="preserve"> HYPERLINK "http://baike.so.com/doc/775244.html" \t "_blank" </w:instrText>
            </w:r>
            <w:r>
              <w:fldChar w:fldCharType="separate"/>
            </w:r>
            <w:r>
              <w:rPr>
                <w:rFonts w:ascii="Times New Roman" w:hAnsi="Times New Roman"/>
              </w:rPr>
              <w:t>单位</w:t>
            </w:r>
            <w:r>
              <w:rPr>
                <w:rFonts w:ascii="Times New Roman" w:hAnsi="Times New Roman"/>
              </w:rPr>
              <w:fldChar w:fldCharType="end"/>
            </w:r>
            <w:r>
              <w:rPr>
                <w:rFonts w:ascii="Times New Roman" w:hAnsi="Times New Roman"/>
                <w:shd w:val="clear" w:color="auto" w:fill="FFFFFF"/>
              </w:rPr>
              <w:t>之一。</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集团根据培训工作的需要，集团公司投资上亿元，为各培训机构完善和建立了通风实验室、计算机室、网络教育平台等教学设施，预备了通风系统、风电瓦斯电闭锁、瓦斯爆炸的演示装置等。</w:t>
            </w:r>
          </w:p>
        </w:tc>
      </w:tr>
      <w:tr>
        <w:tblPrEx>
          <w:tblCellMar>
            <w:top w:w="0" w:type="dxa"/>
            <w:left w:w="108" w:type="dxa"/>
            <w:bottom w:w="0" w:type="dxa"/>
            <w:right w:w="108" w:type="dxa"/>
          </w:tblCellMar>
        </w:tblPrEx>
        <w:trPr>
          <w:trHeight w:val="4227"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19</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阳泉煤业（集团）有限责任公司</w:t>
            </w:r>
          </w:p>
          <w:p>
            <w:pPr>
              <w:widowControl/>
              <w:jc w:val="center"/>
              <w:rPr>
                <w:rFonts w:ascii="Times New Roman" w:hAnsi="Times New Roman"/>
                <w:kern w:val="0"/>
                <w:sz w:val="24"/>
              </w:rPr>
            </w:pPr>
            <w:r>
              <w:rPr>
                <w:rFonts w:ascii="Times New Roman" w:hAnsi="Times New Roman"/>
                <w:kern w:val="0"/>
                <w:sz w:val="24"/>
              </w:rPr>
              <w:t>（阳泉）</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阳泉煤业（集团）有限责任公司前身为阳泉矿务局，是山西省五大煤炭集团之一，全国最大的无烟煤生产基地和中国三强煤化工企业集团。经过63年的发展，现已成为一个以煤炭和化工为主导产业，铝电、建筑地产、装备制造、贸易物流和现代服务业为辅助产业的强势发展的煤基多元化企业集团。</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center"/>
              <w:rPr>
                <w:rFonts w:ascii="Times New Roman" w:hAnsi="Times New Roman"/>
                <w:kern w:val="0"/>
                <w:sz w:val="24"/>
              </w:rPr>
            </w:pPr>
            <w:r>
              <w:rPr>
                <w:rFonts w:ascii="Times New Roman" w:hAnsi="Times New Roman"/>
                <w:shd w:val="clear" w:color="auto" w:fill="FFFFFF"/>
              </w:rPr>
              <w:t>阳煤化工教育培训中心是阳煤集团化工局直属的培训教育机构，其前身为太原化学工业集团有限公司职工大学，成立于1958年，为山西省培养了大批化工专业人才，2012年4月划归阳煤集团，我中心还是北京化工大学在山西的直属函授站。现开展化工类各级各类培训，同时进行成人本专科、在职研究生的学历教育。各级学历在校生、毕业生均可在中国高等教育学生信息网（学信网）上有合法正式信息。</w:t>
            </w:r>
          </w:p>
        </w:tc>
      </w:tr>
      <w:tr>
        <w:tblPrEx>
          <w:tblCellMar>
            <w:top w:w="0" w:type="dxa"/>
            <w:left w:w="108" w:type="dxa"/>
            <w:bottom w:w="0" w:type="dxa"/>
            <w:right w:w="108" w:type="dxa"/>
          </w:tblCellMar>
        </w:tblPrEx>
        <w:trPr>
          <w:trHeight w:val="6123"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20</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中国平煤神马能源化工集团有限责任公司</w:t>
            </w:r>
          </w:p>
          <w:p>
            <w:pPr>
              <w:widowControl/>
              <w:jc w:val="center"/>
              <w:rPr>
                <w:rFonts w:ascii="Times New Roman" w:hAnsi="Times New Roman"/>
                <w:kern w:val="0"/>
                <w:sz w:val="24"/>
              </w:rPr>
            </w:pPr>
            <w:r>
              <w:rPr>
                <w:rFonts w:ascii="Times New Roman" w:hAnsi="Times New Roman"/>
                <w:kern w:val="0"/>
                <w:sz w:val="24"/>
              </w:rPr>
              <w:t>（平顶山）</w:t>
            </w:r>
          </w:p>
        </w:tc>
        <w:tc>
          <w:tcPr>
            <w:tcW w:w="4046" w:type="dxa"/>
            <w:tcBorders>
              <w:top w:val="nil"/>
              <w:left w:val="nil"/>
              <w:bottom w:val="single" w:color="auto" w:sz="4" w:space="0"/>
              <w:right w:val="single" w:color="auto" w:sz="8" w:space="0"/>
            </w:tcBorders>
            <w:vAlign w:val="center"/>
          </w:tcPr>
          <w:p>
            <w:pPr>
              <w:widowControl/>
              <w:jc w:val="left"/>
              <w:rPr>
                <w:rFonts w:ascii="Times New Roman" w:hAnsi="Times New Roman"/>
                <w:kern w:val="0"/>
                <w:sz w:val="24"/>
              </w:rPr>
            </w:pPr>
            <w:r>
              <w:rPr>
                <w:rFonts w:ascii="Times New Roman" w:hAnsi="Times New Roman"/>
                <w:shd w:val="clear" w:color="auto" w:fill="FFFFFF"/>
              </w:rPr>
              <w:t>中国平煤神马能源化工集团有限责任公司是经河南省委、省政府批准，由平煤集团公司和神马集团公司重组整合于2008年12月3日成立的特大型能源化工集团。中国平煤神马集团将依托丰富的煤、岩盐、水等资源优势，充分利用平煤股份和神马实业两个上市公司平台，发挥两个国家级企业技术中心、两个博士后工作站的优势，加大科技创新，调整产业结构，转变发展方式，大力发展煤炭采选、尼龙化工、煤焦化工、煤盐化工、煤电5大核心产业和现代物流、高新技术、建工建材、机电装备4个辅助产业，成为中部最大的动力煤生产基地、全国最大的焦煤生产基地、煤盐化工基地和亚洲最大的尼龙化工基地，到“十一五”末，实现营业收入1000亿元，建成国内一流、具有国际竞争力的新型能源化工集团，进入中国企业100强和世界企业500强。</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团现有各级各类培训基地46所。其中集团级培训基地4所，矿（厂、处、公司）职教中心（职工学校）42所，专职教师892名，兼职教师1208名。集团级4所培训基地分别是：平顶山工业职业技术学院、平煤股份安培中心、河南煤炭卫生学校、集团党校。平顶山工业职业技术学院是国家首批28所示范性高职院校、全国煤炭行业企业办学中唯一一所国家示范性高职院校；平煤股份安培中心是国家煤矿二级、非煤三级安全培训机构，并拥有全国救护中队长培训资质。</w:t>
            </w:r>
          </w:p>
        </w:tc>
      </w:tr>
      <w:tr>
        <w:tblPrEx>
          <w:tblCellMar>
            <w:top w:w="0" w:type="dxa"/>
            <w:left w:w="108" w:type="dxa"/>
            <w:bottom w:w="0" w:type="dxa"/>
            <w:right w:w="108" w:type="dxa"/>
          </w:tblCellMar>
        </w:tblPrEx>
        <w:trPr>
          <w:trHeight w:val="3248"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21</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山西晋城无烟煤矿业集团有限责任公司</w:t>
            </w:r>
          </w:p>
          <w:p>
            <w:pPr>
              <w:widowControl/>
              <w:jc w:val="center"/>
              <w:rPr>
                <w:rFonts w:ascii="Times New Roman" w:hAnsi="Times New Roman"/>
                <w:kern w:val="0"/>
                <w:sz w:val="24"/>
              </w:rPr>
            </w:pPr>
            <w:r>
              <w:rPr>
                <w:rFonts w:ascii="Times New Roman" w:hAnsi="Times New Roman"/>
                <w:kern w:val="0"/>
                <w:sz w:val="24"/>
              </w:rPr>
              <w:t>（晋城）</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山西晋城无烟煤矿业集团有限责任公司（简称“晋煤集团”）是由山西省国资委控股（控股60.31%），国家开行（持股19.63%）、中国信达（持股16.45%）和中国建行（持股3.61%）三方股东参股的有限责任公司，是我国优质无烟煤重要的生产企业、全国最大的煤层气抽采利用企业、全国最大的煤化工企业集团、全国最大的瓦斯发电企业集团。现有55个子公司、10个分公司。</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晋煤集团安全培训中心依托国家特大型煤炭企业集团的优势，以为煤矿提供合格技术工人为目标，不断提升办学水平，目前形成了以煤炭、煤气、煤电、煤化、煤机制造、港口集散等其它非煤产业相关技术培训为主的教学体系，并培养出了一大批杰出的煤矿技术人才。</w:t>
            </w: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22</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陕西煤业化工集团有限责任公司</w:t>
            </w:r>
          </w:p>
          <w:p>
            <w:pPr>
              <w:widowControl/>
              <w:jc w:val="center"/>
              <w:rPr>
                <w:rFonts w:ascii="Times New Roman" w:hAnsi="Times New Roman"/>
                <w:kern w:val="0"/>
                <w:sz w:val="24"/>
              </w:rPr>
            </w:pPr>
            <w:r>
              <w:rPr>
                <w:rFonts w:ascii="Times New Roman" w:hAnsi="Times New Roman"/>
                <w:kern w:val="0"/>
                <w:sz w:val="24"/>
              </w:rPr>
              <w:t>（西安）</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陕西煤业化工集团有限责任公司的前身为陕西煤业集团有限责任公司。陕煤集团公司于2004年2月21日创立，是省委、省政府为落实西部开发战略，充分发挥煤炭资源优势和行业整体优势，调整煤炭经济结构，培育壮大以煤炭开采、煤炭转化为主的能源化工支柱产业而成立的直属国有大型独资企业。</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pacing w:val="6"/>
                <w:sz w:val="252"/>
                <w:szCs w:val="252"/>
              </w:rPr>
            </w:pPr>
            <w:r>
              <w:rPr>
                <w:rFonts w:ascii="Times New Roman" w:hAnsi="Times New Roman"/>
                <w:shd w:val="clear" w:color="auto" w:fill="FFFFFF"/>
              </w:rPr>
              <w:t>陕煤化集团下属5所技校和2所独立建制的党校，其中3所技校（韩城技校、铜川技校、铜川煤建校）属事业性单位，2所技校（澄合技校、蒲白技校）属企业自办；韩城党校和铜川党校（铜川职工中专在党校设立）独立建制。</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23</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陕西煤业化工集团铜川矿业公司</w:t>
            </w:r>
          </w:p>
          <w:p>
            <w:pPr>
              <w:widowControl/>
              <w:jc w:val="center"/>
              <w:rPr>
                <w:rFonts w:ascii="Times New Roman" w:hAnsi="Times New Roman"/>
                <w:kern w:val="0"/>
                <w:sz w:val="24"/>
              </w:rPr>
            </w:pPr>
            <w:r>
              <w:rPr>
                <w:rFonts w:ascii="Times New Roman" w:hAnsi="Times New Roman"/>
                <w:kern w:val="0"/>
                <w:sz w:val="24"/>
              </w:rPr>
              <w:t>（铜川）</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铜川矿业公司是陕西煤业化工集团旗下的大型煤炭企业，是在1955年原同官煤矿的基础上建立的，1998年从原煤炭部下放到陕西省管理。公司现有9对生产矿井(玉华煤矿、陈家山煤矿、下石节煤矿、柴家沟煤矿、王石凹煤矿、金华山煤矿、东坡煤矿、鸭口煤矿、徐家沟煤矿)，分布于铜川、焦坪两个自然矿区，井田总面积174.23平方公里，保有地质储量8亿多吨，可采储量4.9亿吨。</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陕煤化集团下属5所技校和2所独立建制的党校，其中3所技校（韩城技校、铜川技校、铜川煤建校）属事业性单位，2所技校（澄合技校、蒲白技校）属企业自办；韩城党校和铜川党校（铜川职工中专在党校设立）独立建制。</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24</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陕西煤业化工集团韩城矿业公司</w:t>
            </w:r>
          </w:p>
          <w:p>
            <w:pPr>
              <w:widowControl/>
              <w:jc w:val="center"/>
              <w:rPr>
                <w:rFonts w:ascii="Times New Roman" w:hAnsi="Times New Roman"/>
                <w:kern w:val="0"/>
                <w:sz w:val="24"/>
              </w:rPr>
            </w:pPr>
            <w:r>
              <w:rPr>
                <w:rFonts w:ascii="Times New Roman" w:hAnsi="Times New Roman"/>
                <w:kern w:val="0"/>
                <w:sz w:val="24"/>
              </w:rPr>
              <w:t>（韩城）</w:t>
            </w:r>
          </w:p>
        </w:tc>
        <w:tc>
          <w:tcPr>
            <w:tcW w:w="4046" w:type="dxa"/>
            <w:tcBorders>
              <w:top w:val="nil"/>
              <w:left w:val="nil"/>
              <w:bottom w:val="single" w:color="auto" w:sz="4" w:space="0"/>
              <w:right w:val="single" w:color="auto" w:sz="8" w:space="0"/>
            </w:tcBorders>
            <w:vAlign w:val="center"/>
          </w:tcPr>
          <w:p>
            <w:pPr>
              <w:widowControl/>
              <w:spacing w:line="300" w:lineRule="atLeast"/>
              <w:jc w:val="center"/>
              <w:rPr>
                <w:rFonts w:ascii="Times New Roman" w:hAnsi="Times New Roman"/>
                <w:kern w:val="0"/>
                <w:sz w:val="24"/>
              </w:rPr>
            </w:pPr>
            <w:r>
              <w:rPr>
                <w:rFonts w:ascii="Times New Roman" w:hAnsi="Times New Roman"/>
                <w:shd w:val="clear" w:color="auto" w:fill="FFFFFF"/>
              </w:rPr>
              <w:t>陕西陕煤韩城矿业有限公司前身为韩城矿务局，始建于1970年3月，原隶属煤炭工业部，1998年8月下放陕西省政府管理，2004年2月划归陕西煤业化工集团公司管理，2008年进行企业重组改制，将煤炭主业剥离出来，划入陕煤化集团下属的陕西煤业股份有限公司管理，并于2008年底注册成立了陕西陕煤韩城矿业有限公司。</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陕煤化集团下属5所技校和2所独立建制的党校，其中3所技校（韩城技校、铜川技校、铜川煤建校）属事业性单位，2所技校（澄合技校、蒲白技校）属企业自办；韩城党校和铜川党校（铜川职工中专在党校设立）独立建制。</w:t>
            </w:r>
          </w:p>
        </w:tc>
      </w:tr>
      <w:tr>
        <w:tblPrEx>
          <w:tblCellMar>
            <w:top w:w="0" w:type="dxa"/>
            <w:left w:w="108" w:type="dxa"/>
            <w:bottom w:w="0" w:type="dxa"/>
            <w:right w:w="108" w:type="dxa"/>
          </w:tblCellMar>
        </w:tblPrEx>
        <w:trPr>
          <w:trHeight w:val="2608"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25</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陕西煤业化工集团蒲白矿业公司</w:t>
            </w:r>
          </w:p>
          <w:p>
            <w:pPr>
              <w:widowControl/>
              <w:jc w:val="center"/>
              <w:rPr>
                <w:rFonts w:ascii="Times New Roman" w:hAnsi="Times New Roman"/>
                <w:kern w:val="0"/>
                <w:sz w:val="24"/>
              </w:rPr>
            </w:pPr>
            <w:r>
              <w:rPr>
                <w:rFonts w:ascii="Times New Roman" w:hAnsi="Times New Roman"/>
                <w:kern w:val="0"/>
                <w:sz w:val="24"/>
              </w:rPr>
              <w:t>（渭南）</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陕西陕煤蒲白矿业有限公司由原成立于1959年1月的蒲白矿务局改制成立，属国有大二型企业，现隶属陕西煤业化工集团。公司下辖12个单位：7对原煤生产矿井、4个非煤生产单位。</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陕煤化集团下属5所技校和2所独立建制的党校，其中3所技校（韩城技校、铜川技校、铜川煤建校）属事业性单位，2所技校（澄合技校、蒲白技校）属企业自办；韩城党校和铜川党校（铜川职工中专在党校设立）独立建制。</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26</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陕西煤业化工集团澄合矿业公司</w:t>
            </w:r>
          </w:p>
          <w:p>
            <w:pPr>
              <w:widowControl/>
              <w:jc w:val="center"/>
              <w:rPr>
                <w:rFonts w:ascii="Times New Roman" w:hAnsi="Times New Roman"/>
                <w:kern w:val="0"/>
                <w:sz w:val="24"/>
              </w:rPr>
            </w:pPr>
            <w:r>
              <w:rPr>
                <w:rFonts w:ascii="Times New Roman" w:hAnsi="Times New Roman"/>
                <w:kern w:val="0"/>
                <w:sz w:val="24"/>
              </w:rPr>
              <w:t>（渭南）</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陕西陕煤澄合矿业有限公司（澄合矿务局）地处陕西澄城、合阳两县，位于渭北煤田东部，隶属于陕西煤业化工集团有限责任公司，是一家国有大型煤炭企业。澄合矿务局筹建于1970年2月，成立于1974年，原隶属煤炭工业部，1998年8月划归陕西省管理。</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陕煤化集团下属5所技校和2所独立建制的党校，其中3所技校（韩城技校、铜川技校、铜川煤建校）属事业性单位，2所技校（澄合技校、蒲白技校）属企业自办；韩城党校和铜川党校（铜川职工中专在党校设立）独立建制。</w:t>
            </w:r>
          </w:p>
        </w:tc>
      </w:tr>
      <w:tr>
        <w:tblPrEx>
          <w:tblCellMar>
            <w:top w:w="0" w:type="dxa"/>
            <w:left w:w="108" w:type="dxa"/>
            <w:bottom w:w="0" w:type="dxa"/>
            <w:right w:w="108" w:type="dxa"/>
          </w:tblCellMar>
        </w:tblPrEx>
        <w:trPr>
          <w:trHeight w:val="1392"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27</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陕西煤业化工集团黄陵矿业公司</w:t>
            </w:r>
          </w:p>
          <w:p>
            <w:pPr>
              <w:widowControl/>
              <w:jc w:val="center"/>
              <w:rPr>
                <w:rFonts w:ascii="Times New Roman" w:hAnsi="Times New Roman"/>
                <w:kern w:val="0"/>
                <w:sz w:val="24"/>
              </w:rPr>
            </w:pPr>
            <w:r>
              <w:rPr>
                <w:rFonts w:ascii="Times New Roman" w:hAnsi="Times New Roman"/>
                <w:kern w:val="0"/>
                <w:sz w:val="24"/>
              </w:rPr>
              <w:t>（延安）</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陕西煤业化工集团所属大型现代化核心企业，是国家“八五”重点建设项目，20项兴陕工程之一，是国家能源投资体制和煤炭基本建设体制改革的试点单位。</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陕煤化集团下属5所技校和2所独立建制的党校。</w:t>
            </w:r>
          </w:p>
        </w:tc>
      </w:tr>
      <w:tr>
        <w:tblPrEx>
          <w:tblCellMar>
            <w:top w:w="0" w:type="dxa"/>
            <w:left w:w="108" w:type="dxa"/>
            <w:bottom w:w="0" w:type="dxa"/>
            <w:right w:w="108" w:type="dxa"/>
          </w:tblCellMar>
        </w:tblPrEx>
        <w:trPr>
          <w:trHeight w:val="2116"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28</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陕西煤业化工集团彬长矿业公司</w:t>
            </w:r>
          </w:p>
          <w:p>
            <w:pPr>
              <w:widowControl/>
              <w:jc w:val="center"/>
              <w:rPr>
                <w:rFonts w:ascii="Times New Roman" w:hAnsi="Times New Roman"/>
                <w:kern w:val="0"/>
                <w:sz w:val="24"/>
              </w:rPr>
            </w:pPr>
            <w:r>
              <w:rPr>
                <w:rFonts w:ascii="Times New Roman" w:hAnsi="Times New Roman"/>
                <w:kern w:val="0"/>
                <w:sz w:val="24"/>
              </w:rPr>
              <w:t>（咸阳）</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隶属陕西煤业化工集团有限责任公司。总部设在咸阳市，下辖10个子（分）公司、25个职能部门，现有员工6500余人。彬长集团依法有偿取得煤炭资源储量50.3亿吨和相对应的煤层气资源储量，是彬长矿区开发建设的主体。</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陕煤化集团下属5所技校和2所独立建制的党校。</w:t>
            </w:r>
          </w:p>
        </w:tc>
      </w:tr>
      <w:tr>
        <w:tblPrEx>
          <w:tblCellMar>
            <w:top w:w="0" w:type="dxa"/>
            <w:left w:w="108" w:type="dxa"/>
            <w:bottom w:w="0" w:type="dxa"/>
            <w:right w:w="108" w:type="dxa"/>
          </w:tblCellMar>
        </w:tblPrEx>
        <w:trPr>
          <w:trHeight w:val="2415"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29</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陕西煤业化工集团神南矿业公司</w:t>
            </w:r>
          </w:p>
          <w:p>
            <w:pPr>
              <w:widowControl/>
              <w:jc w:val="center"/>
              <w:rPr>
                <w:rFonts w:ascii="Times New Roman" w:hAnsi="Times New Roman"/>
                <w:kern w:val="0"/>
                <w:sz w:val="24"/>
              </w:rPr>
            </w:pPr>
            <w:r>
              <w:rPr>
                <w:rFonts w:ascii="Times New Roman" w:hAnsi="Times New Roman"/>
                <w:kern w:val="0"/>
                <w:sz w:val="24"/>
              </w:rPr>
              <w:t>（榆林）</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是陕西煤业化工集团公司旗下的一个全资子公司，主要承担着煤业化工集团在榆林地区煤化工产业的发展重任。公司经营范围包括轻质化煤焦油等新能源产业的研发、生产、经营；清洁发电、兰炭、电石、石灰等产品的生产、经营；煤化工技术研发、转让、服务等。</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陕煤化集团下属5所技校和2所独立建制的党校。</w:t>
            </w:r>
          </w:p>
        </w:tc>
      </w:tr>
      <w:tr>
        <w:tblPrEx>
          <w:tblCellMar>
            <w:top w:w="0" w:type="dxa"/>
            <w:left w:w="108" w:type="dxa"/>
            <w:bottom w:w="0" w:type="dxa"/>
            <w:right w:w="108" w:type="dxa"/>
          </w:tblCellMar>
        </w:tblPrEx>
        <w:trPr>
          <w:trHeight w:val="2441"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30</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陕西煤业化工集团陕北矿业公司</w:t>
            </w:r>
          </w:p>
          <w:p>
            <w:pPr>
              <w:widowControl/>
              <w:jc w:val="center"/>
              <w:rPr>
                <w:rFonts w:ascii="Times New Roman" w:hAnsi="Times New Roman"/>
                <w:kern w:val="0"/>
                <w:sz w:val="24"/>
              </w:rPr>
            </w:pPr>
            <w:r>
              <w:rPr>
                <w:rFonts w:ascii="Times New Roman" w:hAnsi="Times New Roman"/>
                <w:kern w:val="0"/>
                <w:sz w:val="24"/>
              </w:rPr>
              <w:t>（榆林）</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陕北矿业公司隶属于陕西煤业化工集团公司，是以煤炭生产、煤化工两大产业为主体的省属国有大型企业。公司总部设在榆林市高新技术开发区。公司所属企业分布在陕西省榆林市两县一区。现有2对生产矿井，1个生产服务分公司，1对在建矿井，1个在建煤化工项目。</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陕煤化集团下属5所技校和2所独立建制的党校。</w:t>
            </w:r>
          </w:p>
        </w:tc>
      </w:tr>
      <w:tr>
        <w:tblPrEx>
          <w:tblCellMar>
            <w:top w:w="0" w:type="dxa"/>
            <w:left w:w="108" w:type="dxa"/>
            <w:bottom w:w="0" w:type="dxa"/>
            <w:right w:w="108" w:type="dxa"/>
          </w:tblCellMar>
        </w:tblPrEx>
        <w:trPr>
          <w:trHeight w:val="5382"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31</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兖矿集团有限公司</w:t>
            </w:r>
          </w:p>
          <w:p>
            <w:pPr>
              <w:widowControl/>
              <w:jc w:val="center"/>
              <w:rPr>
                <w:rFonts w:ascii="Times New Roman" w:hAnsi="Times New Roman"/>
                <w:kern w:val="0"/>
                <w:sz w:val="24"/>
              </w:rPr>
            </w:pPr>
            <w:r>
              <w:rPr>
                <w:rFonts w:ascii="Times New Roman" w:hAnsi="Times New Roman"/>
                <w:kern w:val="0"/>
                <w:sz w:val="24"/>
              </w:rPr>
              <w:t>（济宁）</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兖矿集团有限公司是山东省属特大型能源企业，以煤炭生产销售及煤化工、电解铝及机电成套装备制造、金融投资为主导产业，企业正由实体型向金融投资控股型加速转型。资产总额1916亿元，名列2013中国企业500强第122位。</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兖矿职工学校占地322亩，建筑面积18.8万平方米，固定资产8657万元，教学仪器设备价值2825万元，拥有</w:t>
            </w:r>
            <w:r>
              <w:fldChar w:fldCharType="begin"/>
            </w:r>
            <w:r>
              <w:instrText xml:space="preserve"> HYPERLINK "http://baike.so.com/doc/6041033.html" \t "_blank" </w:instrText>
            </w:r>
            <w:r>
              <w:fldChar w:fldCharType="separate"/>
            </w:r>
            <w:r>
              <w:rPr>
                <w:rFonts w:ascii="Times New Roman" w:hAnsi="Times New Roman"/>
              </w:rPr>
              <w:t>电工电子</w:t>
            </w:r>
            <w:r>
              <w:rPr>
                <w:rFonts w:ascii="Times New Roman" w:hAnsi="Times New Roman"/>
              </w:rPr>
              <w:fldChar w:fldCharType="end"/>
            </w:r>
            <w:r>
              <w:rPr>
                <w:rFonts w:ascii="Times New Roman" w:hAnsi="Times New Roman"/>
                <w:shd w:val="clear" w:color="auto" w:fill="FFFFFF"/>
              </w:rPr>
              <w:t>、数控加工、软件、汽车检测与维修、会计电算化等36个实验室、2个实习厂和10个校外实训基地。有8个多媒体教室、3个网络教室、10个现代化投影机房和1个地面卫星接收站。校园网与中国科研网相连，形成了先进的现代化</w:t>
            </w:r>
            <w:r>
              <w:fldChar w:fldCharType="begin"/>
            </w:r>
            <w:r>
              <w:instrText xml:space="preserve"> HYPERLINK "http://baike.so.com/doc/4848464.html" \t "_blank" </w:instrText>
            </w:r>
            <w:r>
              <w:fldChar w:fldCharType="separate"/>
            </w:r>
            <w:r>
              <w:rPr>
                <w:rFonts w:ascii="Times New Roman" w:hAnsi="Times New Roman"/>
              </w:rPr>
              <w:t>多媒体教学</w:t>
            </w:r>
            <w:r>
              <w:rPr>
                <w:rFonts w:ascii="Times New Roman" w:hAnsi="Times New Roman"/>
              </w:rPr>
              <w:fldChar w:fldCharType="end"/>
            </w:r>
            <w:r>
              <w:rPr>
                <w:rFonts w:ascii="Times New Roman" w:hAnsi="Times New Roman"/>
                <w:shd w:val="clear" w:color="auto" w:fill="FFFFFF"/>
              </w:rPr>
              <w:t>体系。图书馆藏书17.1万册，资料室拥有工具书9000余册，阅览室订有期刊500多种，满足了师生的教学、学习和精神需求。</w:t>
            </w: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32</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淮南矿业（集团）有限责任公司</w:t>
            </w:r>
          </w:p>
          <w:p>
            <w:pPr>
              <w:widowControl/>
              <w:jc w:val="center"/>
              <w:rPr>
                <w:rFonts w:ascii="Times New Roman" w:hAnsi="Times New Roman"/>
                <w:kern w:val="0"/>
                <w:sz w:val="24"/>
              </w:rPr>
            </w:pPr>
            <w:r>
              <w:rPr>
                <w:rFonts w:ascii="Times New Roman" w:hAnsi="Times New Roman"/>
                <w:kern w:val="0"/>
                <w:sz w:val="24"/>
              </w:rPr>
              <w:t>（淮南）</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bCs/>
              </w:rPr>
              <w:t>淮南煤矿1903年建矿，曾是全国五大煤都之一，新中国成立后累计向华东地区输出煤炭近9亿吨。国家批准资源量285亿吨，是我国黄河以南资源储量最大、最具开发潜力的一块整装煤田。淮南矿业集团1998年3月由淮南矿务局改制而成，同年7月下放到安徽省管理，是中国企业集团500强（2013年排名第158位）和安徽省17家重点企业之一。</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bCs/>
              </w:rPr>
              <w:t>学院的主办单位淮南矿业集团为国有独资企业，现有生产矿井13对，在建矿井2对，在岗职工7.2万人，是全国13个亿吨级煤炭基地和6个大型煤电基地之一，企业煤炭产量规模、电力权益规模、资产规模、上缴税费和职工收入均列省属企业第一位。被命名为国家首批循环经济试点企业、中华环境友好型煤炭企业、国家级创新型试点企业。</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33</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p>
          <w:p>
            <w:pPr>
              <w:widowControl/>
              <w:jc w:val="center"/>
              <w:rPr>
                <w:rFonts w:ascii="Times New Roman" w:hAnsi="Times New Roman"/>
                <w:kern w:val="0"/>
                <w:sz w:val="24"/>
              </w:rPr>
            </w:pPr>
          </w:p>
          <w:p>
            <w:pPr>
              <w:widowControl/>
              <w:rPr>
                <w:rFonts w:ascii="Times New Roman" w:hAnsi="Times New Roman"/>
                <w:kern w:val="0"/>
                <w:sz w:val="24"/>
              </w:rPr>
            </w:pPr>
            <w:r>
              <w:rPr>
                <w:rFonts w:ascii="Times New Roman" w:hAnsi="Times New Roman"/>
                <w:kern w:val="0"/>
                <w:sz w:val="24"/>
              </w:rPr>
              <w:t>淮北矿业集团有限责任公司</w:t>
            </w:r>
          </w:p>
          <w:p>
            <w:pPr>
              <w:widowControl/>
              <w:jc w:val="center"/>
              <w:rPr>
                <w:rFonts w:ascii="Times New Roman" w:hAnsi="Times New Roman"/>
                <w:kern w:val="0"/>
                <w:sz w:val="24"/>
              </w:rPr>
            </w:pPr>
            <w:r>
              <w:rPr>
                <w:rFonts w:ascii="Times New Roman" w:hAnsi="Times New Roman"/>
                <w:kern w:val="0"/>
                <w:sz w:val="24"/>
              </w:rPr>
              <w:t>（淮北）</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淮北矿业（集团）</w:t>
            </w:r>
            <w:r>
              <w:fldChar w:fldCharType="begin"/>
            </w:r>
            <w:r>
              <w:instrText xml:space="preserve"> HYPERLINK "http://baike.so.com/doc/3122637.html" \t "_blank" </w:instrText>
            </w:r>
            <w:r>
              <w:fldChar w:fldCharType="separate"/>
            </w:r>
            <w:r>
              <w:rPr>
                <w:rFonts w:ascii="Times New Roman" w:hAnsi="Times New Roman"/>
              </w:rPr>
              <w:t>有限责任公司</w:t>
            </w:r>
            <w:r>
              <w:rPr>
                <w:rFonts w:ascii="Times New Roman" w:hAnsi="Times New Roman"/>
              </w:rPr>
              <w:fldChar w:fldCharType="end"/>
            </w:r>
            <w:r>
              <w:rPr>
                <w:rFonts w:ascii="Times New Roman" w:hAnsi="Times New Roman"/>
                <w:shd w:val="clear" w:color="auto" w:fill="FFFFFF"/>
              </w:rPr>
              <w:t>是以煤炭和煤化工产品生产为主，多种经营、综合发展的特大型企业集团。其前身淮北矿务局，始建于1958年5月，1998年3月改制为淮北矿业（集团）有限责任公司。</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淮北矿业实操培训基地和安全教育警示基地（技师学院）、防治水实训基地（桃园矿）、煤矿运输实训基地（许疃矿）、钻探实训基地（工程建设公司）、四级安全培训机构（神源煤化工）。</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34</w:t>
            </w:r>
          </w:p>
        </w:tc>
        <w:tc>
          <w:tcPr>
            <w:tcW w:w="1560" w:type="dxa"/>
            <w:tcBorders>
              <w:top w:val="nil"/>
              <w:left w:val="nil"/>
              <w:bottom w:val="single" w:color="auto" w:sz="4" w:space="0"/>
              <w:right w:val="single" w:color="auto" w:sz="8" w:space="0"/>
            </w:tcBorders>
            <w:vAlign w:val="center"/>
          </w:tcPr>
          <w:p>
            <w:pPr>
              <w:widowControl/>
              <w:rPr>
                <w:rFonts w:ascii="Times New Roman" w:hAnsi="Times New Roman"/>
                <w:kern w:val="0"/>
                <w:sz w:val="24"/>
              </w:rPr>
            </w:pPr>
            <w:r>
              <w:rPr>
                <w:rFonts w:ascii="Times New Roman" w:hAnsi="Times New Roman"/>
                <w:kern w:val="0"/>
                <w:sz w:val="24"/>
              </w:rPr>
              <w:t>黑龙江龙煤矿业控股集团有限责任公司双鸭山分公司</w:t>
            </w:r>
          </w:p>
          <w:p>
            <w:pPr>
              <w:widowControl/>
              <w:jc w:val="center"/>
              <w:rPr>
                <w:rFonts w:ascii="Times New Roman" w:hAnsi="Times New Roman"/>
                <w:kern w:val="0"/>
                <w:sz w:val="24"/>
              </w:rPr>
            </w:pPr>
            <w:r>
              <w:rPr>
                <w:rFonts w:ascii="Times New Roman" w:hAnsi="Times New Roman"/>
                <w:kern w:val="0"/>
                <w:sz w:val="24"/>
              </w:rPr>
              <w:t>（双鸭山）</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黑龙江龙煤矿业控股集团有限责任公司（简称龙煤控股集团）是黑龙江省属最大国有企业，东北（蒙东）地区规模最大的煤炭企业，全国特大型煤炭企业，中国500强企业，2011年在全国煤炭百强企业排行中位列第17位。</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安全培训中心坚持全面贯彻党的安全生产方针，为黑龙江煤炭行业的安全发展培训员工。培训对象为煤矿副总以上领导、国有重点煤矿井科区队负责人、煤矿特殊工种（瓦斯检查工、电钳工、放炮工、安检员、主提升司机、采煤机司机、通风监测工）等。</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35</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河南能源化工集团义煤公司</w:t>
            </w:r>
          </w:p>
          <w:p>
            <w:pPr>
              <w:widowControl/>
              <w:jc w:val="center"/>
              <w:rPr>
                <w:rFonts w:ascii="Times New Roman" w:hAnsi="Times New Roman"/>
                <w:kern w:val="0"/>
                <w:sz w:val="24"/>
              </w:rPr>
            </w:pPr>
            <w:r>
              <w:rPr>
                <w:rFonts w:ascii="Times New Roman" w:hAnsi="Times New Roman"/>
                <w:kern w:val="0"/>
                <w:sz w:val="24"/>
              </w:rPr>
              <w:t>（义马）</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义马煤业集团股份有限公司是国有特大型煤炭企业，矿区地跨河南、青海、新疆、山西、内蒙古等五省（区），拥有生产矿井16座，原煤产能3400多万吨，所产焦煤、贫瘦煤、无烟煤和洗精煤广泛应用于发电、造气、工业锅炉、炼焦和建材等行业，产品广销国内20多个省区，同时还涉足制造、发电、水泥、氧化铝、煤化工等领域。</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义煤集团安培中心以“潜心研究，谋求教学质量提高；强化培训，服务公司安全生产”为工作目标，以“提振精神，恪尽职守，作风硬朗，规范管理”为工作要求，以建设“双师型”、“专家型”师资队伍为切入点，不断提高教师综合素质。</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36</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河南神火集团有限公司</w:t>
            </w:r>
          </w:p>
          <w:p>
            <w:pPr>
              <w:widowControl/>
              <w:jc w:val="center"/>
              <w:rPr>
                <w:rFonts w:ascii="Times New Roman" w:hAnsi="Times New Roman"/>
                <w:kern w:val="0"/>
                <w:sz w:val="24"/>
              </w:rPr>
            </w:pPr>
            <w:r>
              <w:rPr>
                <w:rFonts w:ascii="Times New Roman" w:hAnsi="Times New Roman"/>
                <w:kern w:val="0"/>
                <w:sz w:val="24"/>
              </w:rPr>
              <w:t>（永城）</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河南神火集团有限公司（以下简称“神火集团”）是以煤炭、发电、电解铝生产及产品深加工为主的大型企业集团，中国企业500强，河南省百户重点企业，河南省重点扶持的煤炭骨干企业及铝加工企业，河南省第一批循环经济试点企业。现有总资产480亿元，员工36000人。</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公司和各基层单位均配备有电子教学设备，有自己的培训基地和教学展室、实验室，培训硬件建设很到位。</w:t>
            </w: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37</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p>
          <w:p>
            <w:pPr>
              <w:widowControl/>
              <w:jc w:val="center"/>
              <w:rPr>
                <w:rFonts w:ascii="Times New Roman" w:hAnsi="Times New Roman"/>
                <w:kern w:val="0"/>
                <w:sz w:val="24"/>
              </w:rPr>
            </w:pPr>
          </w:p>
          <w:p>
            <w:pPr>
              <w:widowControl/>
              <w:rPr>
                <w:rFonts w:ascii="Times New Roman" w:hAnsi="Times New Roman"/>
                <w:kern w:val="0"/>
                <w:sz w:val="24"/>
              </w:rPr>
            </w:pPr>
          </w:p>
          <w:p>
            <w:pPr>
              <w:widowControl/>
              <w:jc w:val="center"/>
              <w:rPr>
                <w:rFonts w:ascii="Times New Roman" w:hAnsi="Times New Roman"/>
                <w:kern w:val="0"/>
                <w:sz w:val="24"/>
              </w:rPr>
            </w:pPr>
            <w:r>
              <w:rPr>
                <w:rFonts w:ascii="Times New Roman" w:hAnsi="Times New Roman"/>
                <w:kern w:val="0"/>
                <w:sz w:val="24"/>
              </w:rPr>
              <w:t>郑州煤炭工业（集团）有限责任公司</w:t>
            </w:r>
          </w:p>
          <w:p>
            <w:pPr>
              <w:widowControl/>
              <w:jc w:val="center"/>
              <w:rPr>
                <w:rFonts w:ascii="Times New Roman" w:hAnsi="Times New Roman"/>
                <w:kern w:val="0"/>
                <w:sz w:val="24"/>
              </w:rPr>
            </w:pPr>
            <w:r>
              <w:rPr>
                <w:rFonts w:ascii="Times New Roman" w:hAnsi="Times New Roman"/>
                <w:kern w:val="0"/>
                <w:sz w:val="24"/>
              </w:rPr>
              <w:t>（郑州）</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郑煤集团始建于1958年，初名新密矿务局，1989年1月更名为郑州矿务局，1996年1月经原煤炭部批准改制为国有独资公司，1998年7月由隶属煤炭部下放为省管企业，2002年9月经债转股与中国信达、中国华融组建新公司，实现了股权多元化。2005年9月，建设银行河南省分行因终止与中国信达的股权委托管理协议，直接持有郑煤股权成为公司股东。1997年11月，独家发起组建“郑州煤电股份有限公司”，1998年1月“郑州煤电”在上交所成功上市（600121），是国有煤炭企业第一股。</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郑煤集团职工教育培训中心位于郑州西南四十多公里，坐落在郑州矿区西街1号，交通十分便利。是一所集国家三级安全培训、干部培训和成人函授教育于一体，多形式、多层次、多规格的综合性职工教育培训基地。职教中心拥有教室13个，其中多媒体教室4个，多功能报告厅1个；建有电工电子电机三合一实验室、综合实验室、通风安全、矿井安全、采掘安全、矿井实物展室、采煤模型室等实验室，并建有计算机教室、各类教学模型室。公寓楼、餐厅、娱乐室、阅览室等配套设施齐全。</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38</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重庆松藻煤电有限责任公司</w:t>
            </w:r>
          </w:p>
          <w:p>
            <w:pPr>
              <w:widowControl/>
              <w:jc w:val="center"/>
              <w:rPr>
                <w:rFonts w:ascii="Times New Roman" w:hAnsi="Times New Roman"/>
                <w:kern w:val="0"/>
                <w:sz w:val="24"/>
              </w:rPr>
            </w:pPr>
            <w:r>
              <w:rPr>
                <w:rFonts w:ascii="Times New Roman" w:hAnsi="Times New Roman"/>
                <w:kern w:val="0"/>
                <w:sz w:val="24"/>
              </w:rPr>
              <w:t>（重庆）</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重庆松藻煤电有限责任公司原名松藻矿务局，成立于1979年6月。后经重庆市人民政府批准，以原松藻矿务局为主，与信达资产管理公司、华融资产管理公司、中国节能投资公司股东，于2002年12月25日改制成立的有限责任公司。公司总股本8.4亿元，是重庆市国有大型重点企业，隶属于重庆市能源投资集团公司。</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有4584平方米的教学、办公大楼，有能容纳300人同时上课的多功能报告厅，有先进的电化教学系统，图书室、阅览室、实验室、计算机室等教学培训配套设施齐全，拥有集文字、图片、实物展览、声像影视、事故案例、瓦斯爆炸、煤尘爆炸模拟演示等一体的全国煤矿安全生产警示教育基地和全国组建最早的重庆煤矿安全培训远程网络考试中心，拥有实行宾馆化管理、卫生、舒适、方便、能同时容纳400余人入住的学员宿舍。</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39</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重庆天府矿业有限责任公司</w:t>
            </w:r>
          </w:p>
          <w:p>
            <w:pPr>
              <w:widowControl/>
              <w:jc w:val="center"/>
              <w:rPr>
                <w:rFonts w:ascii="Times New Roman" w:hAnsi="Times New Roman"/>
                <w:kern w:val="0"/>
                <w:sz w:val="24"/>
              </w:rPr>
            </w:pPr>
            <w:r>
              <w:rPr>
                <w:rFonts w:ascii="Times New Roman" w:hAnsi="Times New Roman"/>
                <w:kern w:val="0"/>
                <w:sz w:val="24"/>
              </w:rPr>
              <w:t>（重庆）</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重庆天府矿业有限责任公司（简称：天府矿业公司），位于重庆市西北郊，矿区南起嘉陵江边的白庙子，北止华蓥山宝顶南簏，地跨北碚区、合川区、渝北区三境，全长37公里，东西宽2.8公里，面积103.4平方公里。</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有4584平方米的教学、办公大楼，有能容纳300人同时上课的多功能报告厅，有先进的电化教学系统，图书室、阅览室、实验室、计算机室等教学培训配套设施齐全，拥有全国煤矿安全生产警示教育基地和全国组建最早的重庆煤矿安全培训远程网络考试中心，拥有能同时容纳400余人入住的学员宿舍。</w:t>
            </w: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40</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p>
          <w:p>
            <w:pPr>
              <w:widowControl/>
              <w:jc w:val="center"/>
              <w:rPr>
                <w:rFonts w:ascii="Times New Roman" w:hAnsi="Times New Roman"/>
                <w:kern w:val="0"/>
                <w:sz w:val="24"/>
              </w:rPr>
            </w:pPr>
          </w:p>
          <w:p>
            <w:pPr>
              <w:widowControl/>
              <w:jc w:val="center"/>
              <w:rPr>
                <w:rFonts w:ascii="Times New Roman" w:hAnsi="Times New Roman"/>
                <w:kern w:val="0"/>
                <w:sz w:val="24"/>
              </w:rPr>
            </w:pPr>
          </w:p>
          <w:p>
            <w:pPr>
              <w:widowControl/>
              <w:jc w:val="center"/>
              <w:rPr>
                <w:rFonts w:ascii="Times New Roman" w:hAnsi="Times New Roman"/>
                <w:kern w:val="0"/>
                <w:sz w:val="24"/>
              </w:rPr>
            </w:pPr>
            <w:r>
              <w:rPr>
                <w:rFonts w:ascii="Times New Roman" w:hAnsi="Times New Roman"/>
                <w:kern w:val="0"/>
                <w:sz w:val="24"/>
              </w:rPr>
              <w:t>重庆南桐矿业有限责任公司</w:t>
            </w:r>
          </w:p>
          <w:p>
            <w:pPr>
              <w:widowControl/>
              <w:jc w:val="center"/>
              <w:rPr>
                <w:rFonts w:ascii="Times New Roman" w:hAnsi="Times New Roman"/>
                <w:kern w:val="0"/>
                <w:sz w:val="24"/>
              </w:rPr>
            </w:pPr>
            <w:r>
              <w:rPr>
                <w:rFonts w:ascii="Times New Roman" w:hAnsi="Times New Roman"/>
                <w:kern w:val="0"/>
                <w:sz w:val="24"/>
              </w:rPr>
              <w:t>（重庆）</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重庆南桐矿业有限责任公司是全国煤炭“百强企业”之一。是重庆市最大的主焦煤、动力煤生产基地。煤炭资源丰富，产品种类齐全，交通运输十分方便。煤炭产业适用于冶金、电力、化工、建材、交通等行业。</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中心建有较为完善配套的教学生活设施体系。有4584平方米的教学、办公大楼，有能容纳300人同时上课的多功能报告厅，有先进的电化教学系统，图书室、阅览室、实验室、计算机室等教学培训配套设施齐全，拥有集文字、图片、实物展览、声像影视、事故案例、瓦斯爆炸、煤尘爆炸模拟演示等一体的全国煤矿安全生产警示教育基地和全国组建最早的重庆煤矿安全培训远程网络考试中心，拥有实行宾馆化管理、卫生、舒适、方便、能同时容纳400余人入住的学员宿舍。</w:t>
            </w:r>
          </w:p>
        </w:tc>
      </w:tr>
      <w:tr>
        <w:tblPrEx>
          <w:tblCellMar>
            <w:top w:w="0" w:type="dxa"/>
            <w:left w:w="108" w:type="dxa"/>
            <w:bottom w:w="0" w:type="dxa"/>
            <w:right w:w="108" w:type="dxa"/>
          </w:tblCellMar>
        </w:tblPrEx>
        <w:trPr>
          <w:trHeight w:val="4445"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41</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重庆永荣矿业有限责任公司</w:t>
            </w:r>
          </w:p>
          <w:p>
            <w:pPr>
              <w:widowControl/>
              <w:jc w:val="center"/>
              <w:rPr>
                <w:rFonts w:ascii="Times New Roman" w:hAnsi="Times New Roman"/>
                <w:kern w:val="0"/>
                <w:sz w:val="24"/>
              </w:rPr>
            </w:pPr>
            <w:r>
              <w:rPr>
                <w:rFonts w:ascii="Times New Roman" w:hAnsi="Times New Roman"/>
                <w:kern w:val="0"/>
                <w:sz w:val="24"/>
              </w:rPr>
              <w:t>（重庆）</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重庆永荣矿业公司是由原永荣矿务局改制组建的国有大型独资公司，改制前的永荣矿务局是原煤炭部管理的中央直属企业，1958年建局，1998年从中央划归重庆市管理，2003年改制为重庆永荣矿业有限公司，现隶属重庆市能源投资集团公司。</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有4584平方米的教学、办公大楼，有能容纳300人同时上课的多功能报告厅，有先进的电化教学系统，图书室、阅览室、实验室、计算机室等教学培训配套设施齐全，拥有集文字、图片、实物展览、声像影视、事故案例、瓦斯爆炸、煤尘爆炸模拟演示等一体的全国煤矿安全生产警示教育基地和全国组建最早的重庆煤矿安全培训远程网络考试中心，拥有实行宾馆化管理、卫生、舒适、方便、能同时容纳400余人入住的学员宿舍。</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42</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福能集团福建煤电股份有限公司</w:t>
            </w:r>
          </w:p>
          <w:p>
            <w:pPr>
              <w:widowControl/>
              <w:jc w:val="center"/>
              <w:rPr>
                <w:rFonts w:ascii="Times New Roman" w:hAnsi="Times New Roman"/>
                <w:kern w:val="0"/>
                <w:sz w:val="24"/>
              </w:rPr>
            </w:pPr>
            <w:r>
              <w:rPr>
                <w:rFonts w:ascii="Times New Roman" w:hAnsi="Times New Roman"/>
                <w:kern w:val="0"/>
                <w:sz w:val="24"/>
              </w:rPr>
              <w:t>（福州）</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福建省能源集团有限责任公司(简称“福能集团”)是由</w:t>
            </w:r>
            <w:r>
              <w:fldChar w:fldCharType="begin"/>
            </w:r>
            <w:r>
              <w:instrText xml:space="preserve"> HYPERLINK "http://baike.baidu.com/view/2473425.htm" \t "_blank" </w:instrText>
            </w:r>
            <w:r>
              <w:fldChar w:fldCharType="separate"/>
            </w:r>
            <w:r>
              <w:rPr>
                <w:rFonts w:ascii="Times New Roman" w:hAnsi="Times New Roman"/>
              </w:rPr>
              <w:t>福建省人民政府国有资产监督管理委员会</w:t>
            </w:r>
            <w:r>
              <w:rPr>
                <w:rFonts w:ascii="Times New Roman" w:hAnsi="Times New Roman"/>
              </w:rPr>
              <w:fldChar w:fldCharType="end"/>
            </w:r>
            <w:r>
              <w:rPr>
                <w:rFonts w:ascii="Times New Roman" w:hAnsi="Times New Roman"/>
                <w:shd w:val="clear" w:color="auto" w:fill="FFFFFF"/>
              </w:rPr>
              <w:t>监管的国有大型企业，规格相当于</w:t>
            </w:r>
            <w:r>
              <w:fldChar w:fldCharType="begin"/>
            </w:r>
            <w:r>
              <w:instrText xml:space="preserve"> HYPERLINK "http://baike.baidu.com/view/2483163.htm" \t "_blank" </w:instrText>
            </w:r>
            <w:r>
              <w:fldChar w:fldCharType="separate"/>
            </w:r>
            <w:r>
              <w:rPr>
                <w:rFonts w:ascii="Times New Roman" w:hAnsi="Times New Roman"/>
              </w:rPr>
              <w:t>正厅级</w:t>
            </w:r>
            <w:r>
              <w:rPr>
                <w:rFonts w:ascii="Times New Roman" w:hAnsi="Times New Roman"/>
              </w:rPr>
              <w:fldChar w:fldCharType="end"/>
            </w:r>
            <w:r>
              <w:rPr>
                <w:rFonts w:ascii="Times New Roman" w:hAnsi="Times New Roman"/>
                <w:shd w:val="clear" w:color="auto" w:fill="FFFFFF"/>
              </w:rPr>
              <w:t>建制的政府机构。福建省能源集团前身是福建省煤炭工业总公司，2000年改制为</w:t>
            </w:r>
            <w:r>
              <w:fldChar w:fldCharType="begin"/>
            </w:r>
            <w:r>
              <w:instrText xml:space="preserve"> HYPERLINK "http://baike.baidu.com/view/14527725.htm" \t "_blank" </w:instrText>
            </w:r>
            <w:r>
              <w:fldChar w:fldCharType="separate"/>
            </w:r>
            <w:r>
              <w:rPr>
                <w:rFonts w:ascii="Times New Roman" w:hAnsi="Times New Roman"/>
              </w:rPr>
              <w:t>福建省煤炭工业（集团）有限责任公司</w:t>
            </w:r>
            <w:r>
              <w:rPr>
                <w:rFonts w:ascii="Times New Roman" w:hAnsi="Times New Roman"/>
              </w:rPr>
              <w:fldChar w:fldCharType="end"/>
            </w:r>
            <w:r>
              <w:rPr>
                <w:rFonts w:ascii="Times New Roman" w:hAnsi="Times New Roman"/>
                <w:shd w:val="clear" w:color="auto" w:fill="FFFFFF"/>
              </w:rPr>
              <w:t>，2009年经福建省政府批准由原福建省煤炭工业（集团）有限责任公司和福建省建材（控股）有限责任公司整合重组成立福建省能源集团，公司因此更名为福建省能源集团有限责任公司。</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培训教育狠抓职工安全培训教育工作，按照国家四级安全培训中心的标准，配备了电脑室、电器实验室、事故案例室、通风实验室等硬件。抓好师资培训，完善了各项培训教育的制度，配备了多媒体教育等软件，提高职工安全培训的效果，促进矿井安全生产。</w:t>
            </w: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43</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徐州矿务集团有限责任公司</w:t>
            </w:r>
          </w:p>
          <w:p>
            <w:pPr>
              <w:widowControl/>
              <w:jc w:val="center"/>
              <w:rPr>
                <w:rFonts w:ascii="Times New Roman" w:hAnsi="Times New Roman"/>
                <w:kern w:val="0"/>
                <w:sz w:val="24"/>
              </w:rPr>
            </w:pPr>
            <w:r>
              <w:rPr>
                <w:rFonts w:ascii="Times New Roman" w:hAnsi="Times New Roman"/>
                <w:kern w:val="0"/>
                <w:sz w:val="24"/>
              </w:rPr>
              <w:t>（徐州）</w:t>
            </w:r>
          </w:p>
        </w:tc>
        <w:tc>
          <w:tcPr>
            <w:tcW w:w="4046" w:type="dxa"/>
            <w:tcBorders>
              <w:top w:val="single" w:color="auto" w:sz="8" w:space="0"/>
              <w:left w:val="nil"/>
              <w:bottom w:val="single" w:color="auto" w:sz="4" w:space="0"/>
              <w:right w:val="single" w:color="auto" w:sz="8" w:space="0"/>
            </w:tcBorders>
            <w:vAlign w:val="center"/>
          </w:tcPr>
          <w:p>
            <w:pPr>
              <w:widowControl/>
              <w:jc w:val="left"/>
              <w:rPr>
                <w:rFonts w:ascii="Times New Roman" w:hAnsi="Times New Roman"/>
                <w:shd w:val="clear" w:color="auto" w:fill="FFFFFF"/>
              </w:rPr>
            </w:pPr>
            <w:r>
              <w:rPr>
                <w:rFonts w:ascii="Times New Roman" w:hAnsi="Times New Roman"/>
                <w:shd w:val="clear" w:color="auto" w:fill="FFFFFF"/>
              </w:rPr>
              <w:t>徐州矿务集团有限公司是1998年5月经江苏省人民政府批准，由原徐州矿务局改制而成的国有独资企业，是省政府授权的国有资产投资主体，具有120余年的煤炭开采历史，是江苏省和华东地区重要的煤炭生产基地。</w:t>
            </w:r>
          </w:p>
        </w:tc>
        <w:tc>
          <w:tcPr>
            <w:tcW w:w="3091" w:type="dxa"/>
            <w:tcBorders>
              <w:top w:val="single" w:color="auto" w:sz="8" w:space="0"/>
              <w:left w:val="nil"/>
              <w:bottom w:val="single" w:color="auto" w:sz="4" w:space="0"/>
              <w:right w:val="single" w:color="auto" w:sz="8" w:space="0"/>
            </w:tcBorders>
            <w:vAlign w:val="center"/>
          </w:tcPr>
          <w:p>
            <w:pPr>
              <w:widowControl/>
              <w:jc w:val="left"/>
              <w:rPr>
                <w:rFonts w:ascii="Times New Roman" w:hAnsi="Times New Roman"/>
                <w:shd w:val="clear" w:color="auto" w:fill="FFFFFF"/>
              </w:rPr>
            </w:pPr>
            <w:r>
              <w:rPr>
                <w:rFonts w:ascii="Times New Roman" w:hAnsi="Times New Roman"/>
                <w:shd w:val="clear" w:color="auto" w:fill="FFFFFF"/>
              </w:rPr>
              <w:t>与中国矿业大学等多所中高等院校联合，面向本企业职工子弟和社会，招收3年制的煤矿专业中专班和大专班。院校在徐矿建立“学生实习基地”和“双师型教师实践基地”，通过企校合作方式，相继录用了3300多名专业人才。运用信息网络平台，进行“开放式”学习。成立徐矿大学，开通了覆盖全集团的远程教育网络。各二级单位全部建立了多媒体教室并联网。</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44</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辽宁铁法能源有限责任公司</w:t>
            </w:r>
          </w:p>
          <w:p>
            <w:pPr>
              <w:widowControl/>
              <w:jc w:val="center"/>
              <w:rPr>
                <w:rFonts w:ascii="Times New Roman" w:hAnsi="Times New Roman"/>
                <w:kern w:val="0"/>
                <w:sz w:val="24"/>
              </w:rPr>
            </w:pPr>
            <w:r>
              <w:rPr>
                <w:rFonts w:ascii="Times New Roman" w:hAnsi="Times New Roman"/>
                <w:kern w:val="0"/>
                <w:sz w:val="24"/>
              </w:rPr>
              <w:t>（调兵山）</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铁法能源有限责任公司于2009年注册，原铁煤集团成为其控股子公司，公司总部位于辽宁省北部调兵山市境内。铁法能源公司是以煤炭生产为主，集煤层气开发利用、建筑安装、机械制造加工、建材、电力等于一体，多元发展的大型煤炭企业。</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电化培训，基层24家区队配备了液晶电视、电脑、投影仪等硬件设施，结合各工种特点有针对性的制作了电子课件、事故案例视频和3D电子动画，利用现代化手段组织员工学习。网络培训，在矿内网站设立了安全技能培训专栏，将培训动态、多媒体资源、采掘机运通专业知识和法律法规等内容囊括其中，为员工自学提供了极大的便利。</w:t>
            </w:r>
          </w:p>
        </w:tc>
      </w:tr>
      <w:tr>
        <w:tblPrEx>
          <w:tblCellMar>
            <w:top w:w="0" w:type="dxa"/>
            <w:left w:w="108" w:type="dxa"/>
            <w:bottom w:w="0" w:type="dxa"/>
            <w:right w:w="108" w:type="dxa"/>
          </w:tblCellMar>
        </w:tblPrEx>
        <w:trPr>
          <w:trHeight w:val="2425"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45</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江西省煤炭集团公司</w:t>
            </w:r>
          </w:p>
          <w:p>
            <w:pPr>
              <w:widowControl/>
              <w:jc w:val="center"/>
              <w:rPr>
                <w:rFonts w:ascii="Times New Roman" w:hAnsi="Times New Roman"/>
                <w:kern w:val="0"/>
                <w:sz w:val="24"/>
              </w:rPr>
            </w:pPr>
            <w:r>
              <w:rPr>
                <w:rFonts w:ascii="Times New Roman" w:hAnsi="Times New Roman"/>
                <w:kern w:val="0"/>
                <w:sz w:val="24"/>
              </w:rPr>
              <w:t>（南昌）</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江西特大型国有煤炭企业，由省政府授权经营省级国有煤炭资产并属省国资委监管。截至2013年底，企业注册资本16亿元，资产总额257亿元，净资产81.4亿元。当年实现销售收入260亿元，上交税金11.3亿元。</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学院现有煤矿开采技术、工程造价、工程测量、计算机应用技术、机电一体化技术、模具设计与制造、数控技术、电气自动化技术、注册会计等38个专业。面向全国各省（市、自治区）招生。</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46</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北京京煤集团有限责任公司</w:t>
            </w:r>
          </w:p>
          <w:p>
            <w:pPr>
              <w:widowControl/>
              <w:jc w:val="center"/>
              <w:rPr>
                <w:rFonts w:ascii="Times New Roman" w:hAnsi="Times New Roman"/>
                <w:kern w:val="0"/>
                <w:sz w:val="24"/>
              </w:rPr>
            </w:pPr>
            <w:r>
              <w:rPr>
                <w:rFonts w:ascii="Times New Roman" w:hAnsi="Times New Roman"/>
                <w:kern w:val="0"/>
                <w:sz w:val="24"/>
              </w:rPr>
              <w:t>（北京）</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北京京煤集团有限责任公司位于北京市门头沟区新桥南大街2号。邮政编码102300。北京京煤集团有限责任公司是2001年由原北京矿务局和原北京市煤炭总公司合并重组的国有独资大型企业集团。集团权属二三级单位60余家，员工2.9万人。</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在硬件建设上，投资数千万元，对原有的教学楼及学生宿舍楼全面进行改造。中心主体班教室全部完成改建并更新了多媒体教学设备；新建了现代化的体育场馆，完成了计算机、数控、车工等专业设备的统一整改更新。在软件建设上，以人为本，通过自身培养、引进、聘用等多种途径，加强教师队伍建设。</w:t>
            </w: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47</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盘江煤电（集团）有限责任公司</w:t>
            </w:r>
          </w:p>
          <w:p>
            <w:pPr>
              <w:widowControl/>
              <w:jc w:val="center"/>
              <w:rPr>
                <w:rFonts w:ascii="Times New Roman" w:hAnsi="Times New Roman"/>
                <w:kern w:val="0"/>
                <w:sz w:val="24"/>
              </w:rPr>
            </w:pPr>
            <w:r>
              <w:rPr>
                <w:rFonts w:ascii="Times New Roman" w:hAnsi="Times New Roman"/>
                <w:kern w:val="0"/>
                <w:sz w:val="24"/>
              </w:rPr>
              <w:t>（贵阳）</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盘江煤电（集团）公司是一大型国有煤炭工业企业，在2007年全国煤炭工业100强中排名第48位，是贵州省十大企业之一。公司位于六盘水市盘县境内，与云南省富源县、宣威市接壤，由于地处中国“攀西--六盘水”这个资源富集的“金三角”最南端，又以丰富的煤炭资源称冠江南。</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培训中心建立健全职工教育培训相关管理制度的同时，设立了电钳、综采综掘司机和维护和综采综掘班队长等实训基地，把安全教育培训的重心下沉到班组，改变安全教育培训一直由区科包揽的现状，让班队长、技术员和工人技师成为教育培训的主角，解决培训学习理论与实际操作脱节问题。</w:t>
            </w:r>
          </w:p>
          <w:p>
            <w:pPr>
              <w:widowControl/>
              <w:spacing w:line="300" w:lineRule="atLeast"/>
              <w:jc w:val="left"/>
              <w:rPr>
                <w:rFonts w:ascii="Times New Roman" w:hAnsi="Times New Roman"/>
                <w:shd w:val="clear" w:color="auto" w:fill="FFFFFF"/>
              </w:rPr>
            </w:pPr>
          </w:p>
          <w:p>
            <w:pPr>
              <w:widowControl/>
              <w:spacing w:line="300" w:lineRule="atLeast"/>
              <w:jc w:val="left"/>
              <w:rPr>
                <w:rFonts w:ascii="Times New Roman" w:hAnsi="Times New Roman"/>
                <w:shd w:val="clear" w:color="auto" w:fill="FFFFFF"/>
              </w:rPr>
            </w:pPr>
          </w:p>
          <w:p>
            <w:pPr>
              <w:widowControl/>
              <w:spacing w:line="300" w:lineRule="atLeast"/>
              <w:jc w:val="left"/>
              <w:rPr>
                <w:rFonts w:ascii="Times New Roman" w:hAnsi="Times New Roman"/>
                <w:kern w:val="0"/>
                <w:sz w:val="24"/>
              </w:rPr>
            </w:pP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48</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四川省煤炭产业集团有限公司</w:t>
            </w:r>
          </w:p>
          <w:p>
            <w:pPr>
              <w:widowControl/>
              <w:jc w:val="center"/>
              <w:rPr>
                <w:rFonts w:ascii="Times New Roman" w:hAnsi="Times New Roman"/>
                <w:kern w:val="0"/>
                <w:sz w:val="24"/>
              </w:rPr>
            </w:pPr>
            <w:r>
              <w:rPr>
                <w:rFonts w:ascii="Times New Roman" w:hAnsi="Times New Roman"/>
                <w:kern w:val="0"/>
                <w:sz w:val="24"/>
              </w:rPr>
              <w:t>（成都）</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四川省煤炭产业集团有限责任公司（简称川煤集团），是四川省委、省政府为加快全省大中型煤矿建设，优化调整煤炭工业结构，促进煤炭工业健康发展，以省内国有重点煤矿为基础，于2005年8月28日组建的大型企业，公司注册资本30亿元。</w:t>
            </w:r>
          </w:p>
        </w:tc>
        <w:tc>
          <w:tcPr>
            <w:tcW w:w="3091" w:type="dxa"/>
            <w:tcBorders>
              <w:top w:val="nil"/>
              <w:left w:val="nil"/>
              <w:bottom w:val="single" w:color="auto" w:sz="4" w:space="0"/>
              <w:right w:val="single" w:color="auto" w:sz="8" w:space="0"/>
            </w:tcBorders>
            <w:vAlign w:val="center"/>
          </w:tcPr>
          <w:p>
            <w:pPr>
              <w:widowControl/>
              <w:jc w:val="left"/>
              <w:rPr>
                <w:rFonts w:ascii="Times New Roman" w:hAnsi="Times New Roman"/>
                <w:kern w:val="0"/>
                <w:sz w:val="24"/>
              </w:rPr>
            </w:pPr>
            <w:r>
              <w:rPr>
                <w:rFonts w:ascii="Times New Roman" w:hAnsi="Times New Roman"/>
                <w:shd w:val="clear" w:color="auto" w:fill="FFFFFF"/>
              </w:rPr>
              <w:t>学院建有电气工程实验中心、安全工程实验中心、工业设计实验操作中心；建立有多个校外实习与就业基地。学生通过综合性、设计性课程实验、课程设计、课外科创及竞赛活动、实习、毕业设计等多个实践环节的工程训练。</w:t>
            </w:r>
          </w:p>
        </w:tc>
      </w:tr>
      <w:tr>
        <w:tblPrEx>
          <w:tblCellMar>
            <w:top w:w="0" w:type="dxa"/>
            <w:left w:w="108" w:type="dxa"/>
            <w:bottom w:w="0" w:type="dxa"/>
            <w:right w:w="108" w:type="dxa"/>
          </w:tblCellMar>
        </w:tblPrEx>
        <w:trPr>
          <w:trHeight w:val="2843"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49</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四川攀枝花煤业（集团）有限责任公司</w:t>
            </w:r>
          </w:p>
          <w:p>
            <w:pPr>
              <w:widowControl/>
              <w:jc w:val="center"/>
              <w:rPr>
                <w:rFonts w:ascii="Times New Roman" w:hAnsi="Times New Roman"/>
                <w:kern w:val="0"/>
                <w:sz w:val="24"/>
              </w:rPr>
            </w:pPr>
            <w:r>
              <w:rPr>
                <w:rFonts w:ascii="Times New Roman" w:hAnsi="Times New Roman"/>
                <w:kern w:val="0"/>
                <w:sz w:val="24"/>
              </w:rPr>
              <w:t>（攀枝花）</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攀枝花煤业(集团)有限责任公司始建于1964年，是二十世纪六十年代国家在“大三线”建设中为攀枝花钢铁基地配套建设的国有大型煤炭企业。是原煤炭部直属的国有大型煤炭企业之一。2000年3月改制为有限责任公司，2005年8月隶属川煤集团管理。</w:t>
            </w:r>
          </w:p>
        </w:tc>
        <w:tc>
          <w:tcPr>
            <w:tcW w:w="3091" w:type="dxa"/>
            <w:tcBorders>
              <w:top w:val="nil"/>
              <w:left w:val="nil"/>
              <w:bottom w:val="single" w:color="auto" w:sz="4" w:space="0"/>
              <w:right w:val="single" w:color="auto" w:sz="8" w:space="0"/>
            </w:tcBorders>
            <w:vAlign w:val="center"/>
          </w:tcPr>
          <w:p>
            <w:pPr>
              <w:widowControl/>
              <w:jc w:val="left"/>
              <w:rPr>
                <w:rFonts w:ascii="Times New Roman" w:hAnsi="Times New Roman"/>
                <w:kern w:val="0"/>
                <w:sz w:val="24"/>
              </w:rPr>
            </w:pPr>
            <w:r>
              <w:rPr>
                <w:rFonts w:ascii="Times New Roman" w:hAnsi="Times New Roman"/>
                <w:shd w:val="clear" w:color="auto" w:fill="FFFFFF"/>
              </w:rPr>
              <w:t>学院建有电气工程实验中心、安全工程实验中心、工业设计实验操作中心；建立有多个校外实习与就业基地。学生通过综合性、设计性课程实验、课程设计、课外科创及竞赛活动、实习、毕业设计等多个实践环节的工程训练。</w:t>
            </w:r>
          </w:p>
        </w:tc>
      </w:tr>
      <w:tr>
        <w:tblPrEx>
          <w:tblCellMar>
            <w:top w:w="0" w:type="dxa"/>
            <w:left w:w="108" w:type="dxa"/>
            <w:bottom w:w="0" w:type="dxa"/>
            <w:right w:w="108" w:type="dxa"/>
          </w:tblCellMar>
        </w:tblPrEx>
        <w:trPr>
          <w:trHeight w:val="2685"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50</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四川达竹煤电（集团）有限责任公司</w:t>
            </w:r>
          </w:p>
          <w:p>
            <w:pPr>
              <w:widowControl/>
              <w:jc w:val="center"/>
              <w:rPr>
                <w:rFonts w:ascii="Times New Roman" w:hAnsi="Times New Roman"/>
                <w:kern w:val="0"/>
                <w:sz w:val="24"/>
              </w:rPr>
            </w:pPr>
            <w:r>
              <w:rPr>
                <w:rFonts w:ascii="Times New Roman" w:hAnsi="Times New Roman"/>
                <w:kern w:val="0"/>
                <w:sz w:val="24"/>
              </w:rPr>
              <w:t>（达州）</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四川达竹煤电（集团）有限责任公司前身为达竹矿务局，始建于1967年，是原煤炭部直属94户国有重点煤炭企业之一，1998年下放达州市管理，2005年8月，上划到四川省煤炭产业集团管理。</w:t>
            </w:r>
          </w:p>
        </w:tc>
        <w:tc>
          <w:tcPr>
            <w:tcW w:w="3091" w:type="dxa"/>
            <w:tcBorders>
              <w:top w:val="nil"/>
              <w:left w:val="nil"/>
              <w:bottom w:val="single" w:color="auto" w:sz="4" w:space="0"/>
              <w:right w:val="single" w:color="auto" w:sz="8" w:space="0"/>
            </w:tcBorders>
            <w:vAlign w:val="center"/>
          </w:tcPr>
          <w:p>
            <w:pPr>
              <w:widowControl/>
              <w:jc w:val="left"/>
              <w:rPr>
                <w:rFonts w:ascii="Times New Roman" w:hAnsi="Times New Roman"/>
                <w:kern w:val="0"/>
                <w:sz w:val="24"/>
              </w:rPr>
            </w:pPr>
            <w:r>
              <w:rPr>
                <w:rFonts w:ascii="Times New Roman" w:hAnsi="Times New Roman"/>
                <w:shd w:val="clear" w:color="auto" w:fill="FFFFFF"/>
              </w:rPr>
              <w:t>学院建有电气工程实验中心、安全工程实验中心、工业设计实验操作中心；建立有多个校外实习与就业基地。学生通过综合性、设计性课程实验、课程设计、课外科创及竞赛活动、实习、毕业设计等多个实践环节的工程训练。</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51</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四川华蓥山广能（集团）有限责任公司</w:t>
            </w:r>
          </w:p>
          <w:p>
            <w:pPr>
              <w:widowControl/>
              <w:jc w:val="center"/>
              <w:rPr>
                <w:rFonts w:ascii="Times New Roman" w:hAnsi="Times New Roman"/>
                <w:kern w:val="0"/>
                <w:sz w:val="24"/>
              </w:rPr>
            </w:pPr>
            <w:r>
              <w:rPr>
                <w:rFonts w:ascii="Times New Roman" w:hAnsi="Times New Roman"/>
                <w:kern w:val="0"/>
                <w:sz w:val="24"/>
              </w:rPr>
              <w:t>（华蓥山）</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四川华蓥山广能（集团）有限责任公司（简称“广能公司”）的前身是原煤炭部直属的华蓥山矿务局，始建于1970年，1998年国家体制改革下放广安市管理，2000年改制为国有控股公司，2005年上划四川省国资委管理，重组成为四川省煤炭产业集团的全资子公司。</w:t>
            </w:r>
          </w:p>
        </w:tc>
        <w:tc>
          <w:tcPr>
            <w:tcW w:w="3091" w:type="dxa"/>
            <w:tcBorders>
              <w:top w:val="nil"/>
              <w:left w:val="nil"/>
              <w:bottom w:val="single" w:color="auto" w:sz="8" w:space="0"/>
              <w:right w:val="single" w:color="auto" w:sz="8" w:space="0"/>
            </w:tcBorders>
            <w:vAlign w:val="center"/>
          </w:tcPr>
          <w:p>
            <w:pPr>
              <w:widowControl/>
              <w:jc w:val="left"/>
              <w:rPr>
                <w:rFonts w:ascii="Times New Roman" w:hAnsi="Times New Roman"/>
                <w:kern w:val="0"/>
                <w:sz w:val="24"/>
              </w:rPr>
            </w:pPr>
            <w:r>
              <w:rPr>
                <w:rFonts w:ascii="Times New Roman" w:hAnsi="Times New Roman"/>
                <w:shd w:val="clear" w:color="auto" w:fill="FFFFFF"/>
              </w:rPr>
              <w:t>学院建有电气工程实验中心、安全工程实验中心、工业设计实验操作中心；建立有多个校外实习与就业基地。学生通过综合性、设计性课程实验、课程设计、课外科创及竞赛活动、实习、毕业设计等多个实践环节的工程训练。</w:t>
            </w:r>
          </w:p>
        </w:tc>
      </w:tr>
      <w:tr>
        <w:tblPrEx>
          <w:tblCellMar>
            <w:top w:w="0" w:type="dxa"/>
            <w:left w:w="108" w:type="dxa"/>
            <w:bottom w:w="0" w:type="dxa"/>
            <w:right w:w="108" w:type="dxa"/>
          </w:tblCellMar>
        </w:tblPrEx>
        <w:trPr>
          <w:trHeight w:val="521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52</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四川广旺能源发展（集团）有限责任公司</w:t>
            </w:r>
          </w:p>
          <w:p>
            <w:pPr>
              <w:widowControl/>
              <w:jc w:val="center"/>
              <w:rPr>
                <w:rFonts w:ascii="Times New Roman" w:hAnsi="Times New Roman"/>
                <w:kern w:val="0"/>
                <w:sz w:val="24"/>
              </w:rPr>
            </w:pPr>
            <w:r>
              <w:rPr>
                <w:rFonts w:ascii="Times New Roman" w:hAnsi="Times New Roman"/>
                <w:kern w:val="0"/>
                <w:sz w:val="24"/>
              </w:rPr>
              <w:t>（广元）</w:t>
            </w:r>
          </w:p>
          <w:p>
            <w:pPr>
              <w:widowControl/>
              <w:jc w:val="center"/>
              <w:rPr>
                <w:rFonts w:ascii="Times New Roman" w:hAnsi="Times New Roman"/>
                <w:kern w:val="0"/>
                <w:sz w:val="24"/>
              </w:rPr>
            </w:pP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四川广旺能源发展（集团）有限责任公司隶属于四川省煤炭产业集团公司，位于四川盆地北部边缘川陕甘结合部，是一家以煤为主，集煤炭洗选、电力、机械制造、旅游酒店、医疗急救、信息通讯、贸易、物流、物业、职业培训等多业发展的省属国有大型企业。</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18"/>
                <w:szCs w:val="18"/>
              </w:rPr>
            </w:pPr>
            <w:r>
              <w:rPr>
                <w:rFonts w:ascii="Times New Roman" w:hAnsi="Times New Roman"/>
                <w:shd w:val="clear" w:color="auto" w:fill="FFFFFF"/>
              </w:rPr>
              <w:t>川煤广旺公司培训中心（广元工程技工学校），采用“数块牌子一套班子”的管理模式，除广元工程技工学校外，主要还有广元市煤矿安全培训中心，07年培训各类煤矿特种作业人员3000余人；国家职业资格鉴定所（川—138所），常年开展中高级工和技师的技能等级鉴定；西安科技大学广旺函授站，每年招收采矿、机电等大专、本科函授学员。学校还是经广元市、旺苍县政府采购中心公开竞标取得的，具有农民工培训合法资质的培训学校，常年免费培训机电、焊接等十余个工种的农民工培训。</w:t>
            </w:r>
          </w:p>
        </w:tc>
      </w:tr>
      <w:tr>
        <w:tblPrEx>
          <w:tblCellMar>
            <w:top w:w="0" w:type="dxa"/>
            <w:left w:w="108" w:type="dxa"/>
            <w:bottom w:w="0" w:type="dxa"/>
            <w:right w:w="108" w:type="dxa"/>
          </w:tblCellMar>
        </w:tblPrEx>
        <w:trPr>
          <w:trHeight w:val="5740"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53</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四川芙蓉集团实业有限任公司</w:t>
            </w:r>
          </w:p>
          <w:p>
            <w:pPr>
              <w:widowControl/>
              <w:jc w:val="center"/>
              <w:rPr>
                <w:rFonts w:ascii="Times New Roman" w:hAnsi="Times New Roman"/>
                <w:kern w:val="0"/>
                <w:sz w:val="24"/>
              </w:rPr>
            </w:pPr>
            <w:r>
              <w:rPr>
                <w:rFonts w:ascii="Times New Roman" w:hAnsi="Times New Roman"/>
                <w:kern w:val="0"/>
                <w:sz w:val="24"/>
              </w:rPr>
              <w:t>（宜宾）</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川煤集团芙蓉公司前身是成立于1970年12月的芙蓉矿务局，为原煤炭部所属国有重点大二型煤炭生产企业。2001年，芙蓉矿务局整体改制为四川芙蓉集团实业有限责任公司；2005年8月，成为四川省煤炭产业集团全资子公司。</w:t>
            </w:r>
          </w:p>
        </w:tc>
        <w:tc>
          <w:tcPr>
            <w:tcW w:w="3091" w:type="dxa"/>
            <w:tcBorders>
              <w:top w:val="nil"/>
              <w:left w:val="nil"/>
              <w:bottom w:val="single" w:color="auto" w:sz="4" w:space="0"/>
              <w:right w:val="single" w:color="auto" w:sz="8" w:space="0"/>
            </w:tcBorders>
            <w:vAlign w:val="center"/>
          </w:tcPr>
          <w:p>
            <w:pPr>
              <w:widowControl/>
              <w:jc w:val="left"/>
              <w:rPr>
                <w:rFonts w:ascii="Times New Roman" w:hAnsi="Times New Roman"/>
                <w:kern w:val="0"/>
                <w:sz w:val="24"/>
              </w:rPr>
            </w:pPr>
            <w:r>
              <w:rPr>
                <w:rFonts w:ascii="Times New Roman" w:hAnsi="Times New Roman"/>
                <w:shd w:val="clear" w:color="auto" w:fill="FFFFFF"/>
              </w:rPr>
              <w:t>职工教育培训中心（原名矿务局技工学校）始建于1979年6月，是公司下属二级单位。学校占地面积23243平方米，建筑面积15616平方米，在册在岗教职工32人，其中专兼职教师18人。目前在校学生316人，学习专业为矿山机电和电子专业。从办校至今，学校先后开办了机电、通风安全、采掘、电钳、旅游等13个专业和工种，为芙蓉公司和社会培养技能人才近万名；六年来为地方煤矿培训特种作业人员达到2万多名；为芙蓉公司内部特种作业人员提供了培训服务，培训人数达到了五千多名。</w:t>
            </w:r>
          </w:p>
        </w:tc>
      </w:tr>
      <w:tr>
        <w:tblPrEx>
          <w:tblCellMar>
            <w:top w:w="0" w:type="dxa"/>
            <w:left w:w="108" w:type="dxa"/>
            <w:bottom w:w="0" w:type="dxa"/>
            <w:right w:w="108" w:type="dxa"/>
          </w:tblCellMar>
        </w:tblPrEx>
        <w:trPr>
          <w:trHeight w:val="2673"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54</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山西兰花科技创业股份有限公司伯方煤矿分公司</w:t>
            </w:r>
          </w:p>
          <w:p>
            <w:pPr>
              <w:widowControl/>
              <w:jc w:val="center"/>
              <w:rPr>
                <w:rFonts w:ascii="Times New Roman" w:hAnsi="Times New Roman"/>
                <w:kern w:val="0"/>
                <w:sz w:val="24"/>
              </w:rPr>
            </w:pPr>
            <w:r>
              <w:rPr>
                <w:rFonts w:ascii="Times New Roman" w:hAnsi="Times New Roman"/>
                <w:kern w:val="0"/>
                <w:sz w:val="24"/>
              </w:rPr>
              <w:t>（高平）</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山西兰花科技创业股份有限公司伯方煤矿分公司始建于1980年6月，地处“长平之战”古战场，位于高平市区西北8公里处，现核定生产能力180万吨/年，洗选能力80万吨/年，工业总产值10亿元，固定资产5.3亿元，职工2900余人，专业技术人员400余人，是晋城市最大的环保型无烟煤生产企业之一。</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兰花集团集煤炭、化工、机械等于一体的国家大型企业，坚持“安全生产、以人为本、培训先行”，把提高职工素质纳入企业优先发展战略，不断创新培训教育形式，努力提高全员安全素质。</w:t>
            </w: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55</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国电内蒙古平庄煤业（集团）有限责任公司</w:t>
            </w:r>
          </w:p>
          <w:p>
            <w:pPr>
              <w:widowControl/>
              <w:jc w:val="center"/>
              <w:rPr>
                <w:rFonts w:ascii="Times New Roman" w:hAnsi="Times New Roman"/>
                <w:kern w:val="0"/>
                <w:sz w:val="24"/>
              </w:rPr>
            </w:pPr>
            <w:r>
              <w:rPr>
                <w:rFonts w:ascii="Times New Roman" w:hAnsi="Times New Roman"/>
                <w:kern w:val="0"/>
                <w:sz w:val="24"/>
              </w:rPr>
              <w:t>（赤峰）</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内蒙古平庄煤业（集团）有限责任公司（以下简称平庄煤业）是中国国电集团2008年控股重组的特大型煤炭企业。该公司位于内蒙古赤峰市境内，成立于2000年7月，前身为始创于1959年的平庄矿务局。</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技工学校建设了在线远程教育平台，购置了数控车床等先进教学设备，建立校外学生实习基地，在平煤集团公司各井工矿、赤峰宏文机电有限责任公司、赤峰贺帮机电有限公司、赤峰泰胜电力设备有限公司等建立了多处学生实习基地。</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56</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湖南省煤业集团有限责任公司</w:t>
            </w:r>
          </w:p>
          <w:p>
            <w:pPr>
              <w:widowControl/>
              <w:jc w:val="center"/>
              <w:rPr>
                <w:rFonts w:ascii="Times New Roman" w:hAnsi="Times New Roman"/>
                <w:kern w:val="0"/>
                <w:sz w:val="24"/>
              </w:rPr>
            </w:pPr>
            <w:r>
              <w:rPr>
                <w:rFonts w:ascii="Times New Roman" w:hAnsi="Times New Roman"/>
                <w:kern w:val="0"/>
                <w:sz w:val="24"/>
              </w:rPr>
              <w:t>（长沙）</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湖南省煤业集团有限公司（简称湘煤集团）是经湖南省人民政府批准设立的大型省属国有独资企业，是全国煤炭50强企业，是省政府确定的全省能源保障主平台和重点支持加快发展的企业。公司于2006年6月19日挂牌成立，现旗下拥有全资、控股子公司37家。地跨湖南、贵州、新疆三省，拥有煤矿总数60个，总设计生产能力3000万吨/年。</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湘煤大学（湖南省煤业集团培训中心、党校）拥有建筑面积两万三千多平方米的现代化教学楼和综合楼。配置了大屏幕投影仪多媒体教学设备。学校建有电教室、计算机室、远程教育室、安全教育展示室。</w:t>
            </w:r>
          </w:p>
        </w:tc>
      </w:tr>
      <w:tr>
        <w:tblPrEx>
          <w:tblCellMar>
            <w:top w:w="0" w:type="dxa"/>
            <w:left w:w="108" w:type="dxa"/>
            <w:bottom w:w="0" w:type="dxa"/>
            <w:right w:w="108" w:type="dxa"/>
          </w:tblCellMar>
        </w:tblPrEx>
        <w:trPr>
          <w:trHeight w:val="3872"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57</w:t>
            </w:r>
          </w:p>
        </w:tc>
        <w:tc>
          <w:tcPr>
            <w:tcW w:w="1560" w:type="dxa"/>
            <w:tcBorders>
              <w:top w:val="nil"/>
              <w:left w:val="nil"/>
              <w:bottom w:val="single" w:color="auto" w:sz="4" w:space="0"/>
              <w:right w:val="single" w:color="auto" w:sz="8" w:space="0"/>
            </w:tcBorders>
            <w:vAlign w:val="center"/>
          </w:tcPr>
          <w:p>
            <w:pPr>
              <w:widowControl/>
              <w:spacing w:line="300" w:lineRule="atLeast"/>
              <w:jc w:val="center"/>
              <w:rPr>
                <w:rFonts w:ascii="Times New Roman" w:hAnsi="Times New Roman"/>
                <w:shd w:val="clear" w:color="auto" w:fill="FFFFFF"/>
              </w:rPr>
            </w:pPr>
            <w:r>
              <w:rPr>
                <w:rFonts w:ascii="Times New Roman" w:hAnsi="Times New Roman"/>
                <w:shd w:val="clear" w:color="auto" w:fill="FFFFFF"/>
              </w:rPr>
              <w:t>华亭煤业集团有限责任公司</w:t>
            </w:r>
          </w:p>
          <w:p>
            <w:pPr>
              <w:widowControl/>
              <w:spacing w:line="300" w:lineRule="atLeast"/>
              <w:jc w:val="center"/>
              <w:rPr>
                <w:rFonts w:ascii="Times New Roman" w:hAnsi="Times New Roman"/>
                <w:shd w:val="clear" w:color="auto" w:fill="FFFFFF"/>
              </w:rPr>
            </w:pPr>
            <w:r>
              <w:rPr>
                <w:rFonts w:ascii="Times New Roman" w:hAnsi="Times New Roman"/>
                <w:shd w:val="clear" w:color="auto" w:fill="FFFFFF"/>
              </w:rPr>
              <w:t>（平凉）</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华亭煤业集团有限责任公司（简称华亭煤业集团公司）是经甘肃省人民政府批准，联合重组，依法成立的大型煤炭企业。华亭矿区煤田总面积134平方公里，地质赋存条件好（煤层平均厚度32.65米），瓦斯含量低，适宜机械化开采。注册的“桦亭”、“砚北”牌天然洁净煤享誉全国，深受广大用户青睐。</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兰州资源环境职业技术学院总占地面积536亩，有3个校区。各类教学仪器设备总值1.2亿元，各类图书文献资料72万册。建成了以数据中心、统一门户和统一身份认证为基础的校园信息化平台。建有11个校内实训基地，包含127个实验实训室。其中，现代化仿真矿井是教育部、财政部支持建设的局域共享性实训基地，被国土资源部评审命名为全国首批科普教育基地。</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58</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靖远煤业集团有限责任公司</w:t>
            </w:r>
          </w:p>
          <w:p>
            <w:pPr>
              <w:widowControl/>
              <w:jc w:val="center"/>
              <w:rPr>
                <w:rFonts w:ascii="Times New Roman" w:hAnsi="Times New Roman"/>
                <w:kern w:val="0"/>
                <w:sz w:val="24"/>
              </w:rPr>
            </w:pPr>
            <w:r>
              <w:rPr>
                <w:rFonts w:ascii="Times New Roman" w:hAnsi="Times New Roman"/>
                <w:kern w:val="0"/>
                <w:sz w:val="24"/>
              </w:rPr>
              <w:t>（白银）</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靖煤集团是甘肃省重要的动力煤生产供应基地，已有千年开采历史。1958年拉开建设序幕，1969年4月成立靖远矿区指挥部，1978年11月成立靖远矿务局和甘肃煤炭基本建设工程公司，2001年8月实施债转股，整体改制为靖远煤业有限责任公司，2007年11月更名为靖远煤业集团有限责任公司，2012年实现主业整体上市。</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甘肃省煤炭工业技工学校有钳工实习车间4个，实习工位91个；电工实习车间4个，实习台位40个；机加工实习车间2个;焊接车间3个，配套有各类先进的电焊机100余台。主要实验室有电子、电工、电力拖动、带直流电机四合一实验室一个，配套实验台13个，可做400余项实验；机械模具实验室2个；多媒体教室2个;仪表仪器维修室1个。校外有机械化采煤、电钳、机械加工等专业的实习基地。</w:t>
            </w:r>
          </w:p>
          <w:p>
            <w:pPr>
              <w:widowControl/>
              <w:spacing w:line="300" w:lineRule="atLeast"/>
              <w:jc w:val="left"/>
              <w:rPr>
                <w:rFonts w:ascii="Times New Roman" w:hAnsi="Times New Roman"/>
                <w:kern w:val="0"/>
                <w:sz w:val="24"/>
              </w:rPr>
            </w:pP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59</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窑街煤电集团有限公司</w:t>
            </w:r>
          </w:p>
          <w:p>
            <w:pPr>
              <w:widowControl/>
              <w:jc w:val="center"/>
              <w:rPr>
                <w:rFonts w:ascii="Times New Roman" w:hAnsi="Times New Roman"/>
                <w:kern w:val="0"/>
                <w:sz w:val="24"/>
              </w:rPr>
            </w:pPr>
            <w:r>
              <w:rPr>
                <w:rFonts w:ascii="Times New Roman" w:hAnsi="Times New Roman"/>
                <w:kern w:val="0"/>
                <w:sz w:val="24"/>
              </w:rPr>
              <w:t>（兰州）</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窑街煤田的开采最早始于明代洪武年间，已有600多年的历史，20世纪40年代创办永登煤矿局，1958年8月成立窑街矿务局，原为煤炭部所属国有重点煤炭企业之一，1998年下放甘肃省管理，国家批准债转股后，于2001年9月由甘肃省人民政府、中国信达资产管理股份有限公司、中国华融资产管理公司共同出资重组为股份制企业，2008年7月16日经国家工商总局核准，变更为窑街煤电集团有限公司。</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窑街煤电集团有限公司职工教育培训中心拥有煤矿安全模拟实验室、综采机械实验室、“一通三防”实验室、微机室、多媒体教室、安全展览室、图书室、阅览室、研讨室、电钳焊工实训车间、煤矿安全生产实训基地等安全教育培训资源。</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60</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青海煤业集团有限责任公司</w:t>
            </w:r>
          </w:p>
          <w:p>
            <w:pPr>
              <w:widowControl/>
              <w:jc w:val="center"/>
              <w:rPr>
                <w:rFonts w:ascii="Times New Roman" w:hAnsi="Times New Roman"/>
                <w:kern w:val="0"/>
                <w:sz w:val="24"/>
              </w:rPr>
            </w:pPr>
            <w:r>
              <w:rPr>
                <w:rFonts w:ascii="Times New Roman" w:hAnsi="Times New Roman"/>
                <w:kern w:val="0"/>
                <w:sz w:val="24"/>
              </w:rPr>
              <w:t>（西宁）</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青海省能源发展（集团）有限责任公司，是经青海省人民政府批准，由青海省投资集团有限责任公司、青海煤业集团有限责任公司、中国铝业股份有限公司、黄河上游水电开发有限责任公司、青海盐湖工业集团股份有限公司、青海省国有资产投资管理有限责任公司、青海煤炭地质局、青海省政府国有资产监督管理委员会共同出资组建的一家专业化大型国有煤炭勘查、生产和开发企业，公司注册地位于西宁市生物园区，注册资本金35.55亿元。</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培训机构在取得资质后要以服务安全生产为宗旨，进一步改善基础设施和办学条件，充实师资力量，深化教学改革，加强教学管理，确保培训质量，自觉执行国家和我省有关安全培训工作的规定，并接受安全生产监管部门的指导和监督检查，做好与省安全生产配合协调工作。</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61</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太原煤炭气化（集团）有限责任公司</w:t>
            </w:r>
          </w:p>
          <w:p>
            <w:pPr>
              <w:widowControl/>
              <w:jc w:val="center"/>
              <w:rPr>
                <w:rFonts w:ascii="Times New Roman" w:hAnsi="Times New Roman"/>
                <w:kern w:val="0"/>
                <w:sz w:val="24"/>
              </w:rPr>
            </w:pPr>
            <w:r>
              <w:rPr>
                <w:rFonts w:ascii="Times New Roman" w:hAnsi="Times New Roman"/>
                <w:kern w:val="0"/>
                <w:sz w:val="24"/>
              </w:rPr>
              <w:t>（太原）</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太原煤炭气化(集团)有限责任公司是1981年经国务院批准，由原煤炭部和山西省共同投资建设。公司秉承煤炭深度加工转化和城市实现煤气化的的办企宗旨，坚持物质文明和精神文明齐抓并举，同频共振，协调发展。</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中心拥有宽敞明亮的学员教室、现代化多媒体教室、操作演练实习场地、远程教学平台、教学演示实验室、大型安全展室等教学设施和设备，同时具备集学员食堂、招待所、医务室、图书室、活动室、体育场为一体的舒适的学习生活娱乐场所和场地。</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62</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鄂尔多斯煤炭技工学校</w:t>
            </w:r>
          </w:p>
          <w:p>
            <w:pPr>
              <w:widowControl/>
              <w:jc w:val="center"/>
              <w:rPr>
                <w:rFonts w:ascii="Times New Roman" w:hAnsi="Times New Roman"/>
                <w:kern w:val="0"/>
                <w:sz w:val="24"/>
              </w:rPr>
            </w:pPr>
            <w:r>
              <w:rPr>
                <w:rFonts w:ascii="Times New Roman" w:hAnsi="Times New Roman"/>
                <w:kern w:val="0"/>
                <w:sz w:val="24"/>
              </w:rPr>
              <w:t>（鄂尔多斯）</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鄂尔多斯煤炭技工学校创办于2006年底，是鄂尔多斯市委、市政府批准并委托鄂尔多斯市煤炭局组建、管理的一所公办学校，对我市适龄农牧民实行免费培训的国家“阳光工程”。经内蒙古自治区人力资源和社会保障厅批准为国家职业技能鉴定所、中等专业技工学校，经内蒙古自治区煤监局批准为三级煤矿安全培训中心。</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学校建有功能齐全的综合教学楼，每个教室都配备了与专业教学相配套的多媒体教学手段。建有实验设备齐全、实习项目完善的实验楼及新建成的机电综合实习车间。其间配置现代化矿井开采设计综合模型、智能型瓦斯爆炸实验装置，建有功能多、配置全的液压实习室、电工电子实习室、维修电工实习室、矿山电气实习室、测量实习室等专业操作实训场地。</w:t>
            </w:r>
          </w:p>
        </w:tc>
      </w:tr>
      <w:tr>
        <w:tblPrEx>
          <w:tblCellMar>
            <w:top w:w="0" w:type="dxa"/>
            <w:left w:w="108" w:type="dxa"/>
            <w:bottom w:w="0" w:type="dxa"/>
            <w:right w:w="108" w:type="dxa"/>
          </w:tblCellMar>
        </w:tblPrEx>
        <w:trPr>
          <w:trHeight w:val="1965"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63</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陕西省红石岩煤矿</w:t>
            </w:r>
          </w:p>
          <w:p>
            <w:pPr>
              <w:widowControl/>
              <w:jc w:val="center"/>
              <w:rPr>
                <w:rFonts w:ascii="Times New Roman" w:hAnsi="Times New Roman"/>
                <w:kern w:val="0"/>
                <w:sz w:val="24"/>
              </w:rPr>
            </w:pPr>
            <w:r>
              <w:rPr>
                <w:rFonts w:ascii="Times New Roman" w:hAnsi="Times New Roman"/>
                <w:kern w:val="0"/>
                <w:sz w:val="24"/>
              </w:rPr>
              <w:t>（延安）</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红石岩监狱煤矿属司法部直属监狱煤矿，隶属于陕西省监狱管理局，承担着依法改造罪犯和煤炭生产的双重任务，矿井现配备两个高档普采和两个综掘工作面，原年生产能力为60万吨，2009年1月通过省发改委组织相关部门验收，成为年生产能力120万吨的中型煤矿。</w:t>
            </w: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增强从业人员安全生产管理知识和操作技能，有力地促进了安全生产，并真正起到了查漏补缺、抓薄弱环节、堵塞漏洞的效果，使“三违”大幅度降低，全员安全素质明显提高。</w:t>
            </w:r>
          </w:p>
        </w:tc>
      </w:tr>
      <w:tr>
        <w:tblPrEx>
          <w:tblCellMar>
            <w:top w:w="0" w:type="dxa"/>
            <w:left w:w="108" w:type="dxa"/>
            <w:bottom w:w="0" w:type="dxa"/>
            <w:right w:w="108" w:type="dxa"/>
          </w:tblCellMar>
        </w:tblPrEx>
        <w:trPr>
          <w:trHeight w:val="409"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64</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山西省太原西峪煤矿</w:t>
            </w:r>
          </w:p>
          <w:p>
            <w:pPr>
              <w:widowControl/>
              <w:jc w:val="center"/>
              <w:rPr>
                <w:rFonts w:ascii="Times New Roman" w:hAnsi="Times New Roman"/>
                <w:kern w:val="0"/>
                <w:sz w:val="24"/>
              </w:rPr>
            </w:pPr>
            <w:r>
              <w:rPr>
                <w:rFonts w:ascii="Times New Roman" w:hAnsi="Times New Roman"/>
                <w:kern w:val="0"/>
                <w:sz w:val="24"/>
              </w:rPr>
              <w:t>（太原）</w:t>
            </w:r>
          </w:p>
        </w:tc>
        <w:tc>
          <w:tcPr>
            <w:tcW w:w="4046" w:type="dxa"/>
            <w:tcBorders>
              <w:top w:val="nil"/>
              <w:left w:val="nil"/>
              <w:bottom w:val="single" w:color="auto" w:sz="4" w:space="0"/>
              <w:right w:val="single" w:color="auto" w:sz="8" w:space="0"/>
            </w:tcBorders>
            <w:vAlign w:val="center"/>
          </w:tcPr>
          <w:p>
            <w:pPr>
              <w:widowControl/>
              <w:jc w:val="left"/>
              <w:rPr>
                <w:rFonts w:ascii="Times New Roman" w:hAnsi="Times New Roman"/>
                <w:kern w:val="0"/>
                <w:sz w:val="24"/>
              </w:rPr>
            </w:pPr>
            <w:r>
              <w:rPr>
                <w:rFonts w:ascii="Times New Roman" w:hAnsi="Times New Roman"/>
              </w:rPr>
              <w:t>虽然是煤矿但是环境治理非常有序，近期又修建了广场、花园，耗资上千万，励志要打造太原环境最好煤矿，随着社会的发展煤矿也发生了巨大的变化，不仅工资提高，就连领导的配车也是越来越多。西峪煤矿也叫太原第一监狱。</w:t>
            </w:r>
          </w:p>
        </w:tc>
        <w:tc>
          <w:tcPr>
            <w:tcW w:w="3091" w:type="dxa"/>
            <w:tcBorders>
              <w:top w:val="nil"/>
              <w:left w:val="nil"/>
              <w:bottom w:val="single" w:color="auto" w:sz="4" w:space="0"/>
              <w:right w:val="single" w:color="auto" w:sz="8" w:space="0"/>
            </w:tcBorders>
            <w:vAlign w:val="center"/>
          </w:tcPr>
          <w:p>
            <w:pPr>
              <w:widowControl/>
              <w:jc w:val="left"/>
              <w:rPr>
                <w:rFonts w:ascii="Times New Roman" w:hAnsi="Times New Roman"/>
                <w:kern w:val="0"/>
                <w:sz w:val="24"/>
              </w:rPr>
            </w:pPr>
            <w:r>
              <w:rPr>
                <w:rFonts w:ascii="Times New Roman" w:hAnsi="Times New Roman"/>
                <w:shd w:val="clear" w:color="auto" w:fill="FFFFFF"/>
              </w:rPr>
              <w:t>增强从业人员安全生产管理知识和操作技能，有力地促进了安全生产，并真正起到了查漏补缺、抓薄弱环节、堵塞漏洞的效果，使“三违”大幅度降低，全员安全素质明显提高。</w:t>
            </w:r>
          </w:p>
        </w:tc>
      </w:tr>
      <w:tr>
        <w:tblPrEx>
          <w:tblCellMar>
            <w:top w:w="0" w:type="dxa"/>
            <w:left w:w="108" w:type="dxa"/>
            <w:bottom w:w="0" w:type="dxa"/>
            <w:right w:w="108" w:type="dxa"/>
          </w:tblCellMar>
        </w:tblPrEx>
        <w:trPr>
          <w:trHeight w:val="2840" w:hRule="atLeast"/>
        </w:trPr>
        <w:tc>
          <w:tcPr>
            <w:tcW w:w="732"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65</w:t>
            </w:r>
          </w:p>
        </w:tc>
        <w:tc>
          <w:tcPr>
            <w:tcW w:w="1560" w:type="dxa"/>
            <w:tcBorders>
              <w:top w:val="nil"/>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四川省古叙煤田开发股份有限公司</w:t>
            </w:r>
          </w:p>
          <w:p>
            <w:pPr>
              <w:widowControl/>
              <w:jc w:val="center"/>
              <w:rPr>
                <w:rFonts w:ascii="Times New Roman" w:hAnsi="Times New Roman"/>
                <w:kern w:val="0"/>
                <w:sz w:val="24"/>
              </w:rPr>
            </w:pPr>
            <w:r>
              <w:rPr>
                <w:rFonts w:ascii="Times New Roman" w:hAnsi="Times New Roman"/>
                <w:kern w:val="0"/>
                <w:sz w:val="24"/>
              </w:rPr>
              <w:t>（泸州）</w:t>
            </w:r>
          </w:p>
        </w:tc>
        <w:tc>
          <w:tcPr>
            <w:tcW w:w="4046"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四川省古叙煤田开发股份有限公司”（下称“古叙煤田公司”）是落实四川省委、省政府关于“探索煤炭资源开发新模式、加快古叙矿区建设、保障煤炭供应”的要求，古叙矿区资源开发的主体和龙头骨干企业。公司注册资本金15亿元人民币。为推动泸州煤气化园区建设，2010年11月，省国资委将古叙煤田公司整体划入四川煤气化公司，成为四川煤气化的全资子公司。</w:t>
            </w:r>
          </w:p>
        </w:tc>
        <w:tc>
          <w:tcPr>
            <w:tcW w:w="3091" w:type="dxa"/>
            <w:tcBorders>
              <w:top w:val="nil"/>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古蔺县安全培训中心要在充分利用现有条件，高标准、高质量开展培训的同时，努力探索培养适应现代化、规模化建设所需安全生产技能人才的新教法，调动更多的社会资源，进一步扩大培训规模，严格按照国家统一的大纲和教材有计划地组织培训，以满足全县安全生产需要。</w:t>
            </w:r>
          </w:p>
        </w:tc>
      </w:tr>
      <w:tr>
        <w:tblPrEx>
          <w:tblCellMar>
            <w:top w:w="0" w:type="dxa"/>
            <w:left w:w="108" w:type="dxa"/>
            <w:bottom w:w="0" w:type="dxa"/>
            <w:right w:w="108" w:type="dxa"/>
          </w:tblCellMar>
        </w:tblPrEx>
        <w:trPr>
          <w:trHeight w:val="3145" w:hRule="atLeast"/>
        </w:trPr>
        <w:tc>
          <w:tcPr>
            <w:tcW w:w="732" w:type="dxa"/>
            <w:tcBorders>
              <w:top w:val="nil"/>
              <w:left w:val="single" w:color="auto" w:sz="4" w:space="0"/>
              <w:bottom w:val="single" w:color="auto" w:sz="8"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66</w:t>
            </w:r>
          </w:p>
        </w:tc>
        <w:tc>
          <w:tcPr>
            <w:tcW w:w="1560" w:type="dxa"/>
            <w:tcBorders>
              <w:top w:val="nil"/>
              <w:left w:val="nil"/>
              <w:bottom w:val="single" w:color="auto" w:sz="8"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川煤集团威达公司</w:t>
            </w:r>
          </w:p>
          <w:p>
            <w:pPr>
              <w:widowControl/>
              <w:jc w:val="center"/>
              <w:rPr>
                <w:rFonts w:ascii="Times New Roman" w:hAnsi="Times New Roman"/>
                <w:kern w:val="0"/>
                <w:sz w:val="24"/>
              </w:rPr>
            </w:pPr>
            <w:r>
              <w:rPr>
                <w:rFonts w:ascii="Times New Roman" w:hAnsi="Times New Roman"/>
                <w:kern w:val="0"/>
                <w:sz w:val="24"/>
              </w:rPr>
              <w:t>（泸州）</w:t>
            </w:r>
          </w:p>
        </w:tc>
        <w:tc>
          <w:tcPr>
            <w:tcW w:w="4046"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四川省威达煤业有限责任公司成立于2009年9月，是四川省煤炭产业集团下属子公司之一，由原四川省威远煤矿通过公司制改造组建而成。公司旗下主要有威远煤矿、生活后勤分公司、职工医院、成都办事处、退管委等单位。</w:t>
            </w:r>
          </w:p>
        </w:tc>
        <w:tc>
          <w:tcPr>
            <w:tcW w:w="3091" w:type="dxa"/>
            <w:tcBorders>
              <w:top w:val="nil"/>
              <w:left w:val="nil"/>
              <w:bottom w:val="single" w:color="auto" w:sz="8" w:space="0"/>
              <w:right w:val="single" w:color="auto" w:sz="8" w:space="0"/>
            </w:tcBorders>
            <w:vAlign w:val="center"/>
          </w:tcPr>
          <w:p>
            <w:pPr>
              <w:widowControl/>
              <w:spacing w:line="300" w:lineRule="atLeast"/>
              <w:jc w:val="left"/>
              <w:rPr>
                <w:rFonts w:ascii="Times New Roman" w:hAnsi="Times New Roman"/>
                <w:kern w:val="0"/>
                <w:sz w:val="24"/>
              </w:rPr>
            </w:pPr>
            <w:r>
              <w:rPr>
                <w:rFonts w:ascii="Times New Roman" w:hAnsi="Times New Roman"/>
                <w:shd w:val="clear" w:color="auto" w:fill="FFFFFF"/>
              </w:rPr>
              <w:t>安培处三级培训中心与四川科技职工大学合办大专班一个，对职工进行安全应知应会培训和技能培训70次，培训职工3875人次，员工的技能素质和实际操作水平得到提高。把管理干部和部分业务素质较强的工人300余人列人才储备库进行培养，实行动态管理。</w:t>
            </w:r>
          </w:p>
        </w:tc>
      </w:tr>
      <w:tr>
        <w:tblPrEx>
          <w:tblCellMar>
            <w:top w:w="0" w:type="dxa"/>
            <w:left w:w="108" w:type="dxa"/>
            <w:bottom w:w="0" w:type="dxa"/>
            <w:right w:w="108" w:type="dxa"/>
          </w:tblCellMar>
        </w:tblPrEx>
        <w:trPr>
          <w:trHeight w:val="409" w:hRule="atLeast"/>
        </w:trPr>
        <w:tc>
          <w:tcPr>
            <w:tcW w:w="732" w:type="dxa"/>
            <w:tcBorders>
              <w:top w:val="single" w:color="auto" w:sz="8"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4"/>
              </w:rPr>
            </w:pPr>
            <w:r>
              <w:rPr>
                <w:rFonts w:ascii="Times New Roman" w:hAnsi="Times New Roman"/>
                <w:kern w:val="0"/>
                <w:sz w:val="24"/>
              </w:rPr>
              <w:t>67</w:t>
            </w:r>
          </w:p>
        </w:tc>
        <w:tc>
          <w:tcPr>
            <w:tcW w:w="1560" w:type="dxa"/>
            <w:tcBorders>
              <w:top w:val="single" w:color="auto" w:sz="8" w:space="0"/>
              <w:left w:val="nil"/>
              <w:bottom w:val="single" w:color="auto" w:sz="4" w:space="0"/>
              <w:right w:val="single" w:color="auto" w:sz="8" w:space="0"/>
            </w:tcBorders>
            <w:vAlign w:val="center"/>
          </w:tcPr>
          <w:p>
            <w:pPr>
              <w:widowControl/>
              <w:jc w:val="center"/>
              <w:rPr>
                <w:rFonts w:ascii="Times New Roman" w:hAnsi="Times New Roman"/>
                <w:kern w:val="0"/>
                <w:sz w:val="24"/>
              </w:rPr>
            </w:pPr>
            <w:r>
              <w:rPr>
                <w:rFonts w:ascii="Times New Roman" w:hAnsi="Times New Roman"/>
                <w:kern w:val="0"/>
                <w:sz w:val="24"/>
              </w:rPr>
              <w:t>山西省阳城县安全技术培训中心</w:t>
            </w:r>
          </w:p>
          <w:p>
            <w:pPr>
              <w:widowControl/>
              <w:jc w:val="center"/>
              <w:rPr>
                <w:rFonts w:ascii="Times New Roman" w:hAnsi="Times New Roman"/>
                <w:kern w:val="0"/>
                <w:sz w:val="24"/>
              </w:rPr>
            </w:pPr>
            <w:r>
              <w:rPr>
                <w:rFonts w:ascii="Times New Roman" w:hAnsi="Times New Roman"/>
                <w:kern w:val="0"/>
                <w:sz w:val="24"/>
              </w:rPr>
              <w:t>（晋城）</w:t>
            </w:r>
          </w:p>
        </w:tc>
        <w:tc>
          <w:tcPr>
            <w:tcW w:w="4046"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p>
        </w:tc>
        <w:tc>
          <w:tcPr>
            <w:tcW w:w="3091" w:type="dxa"/>
            <w:tcBorders>
              <w:top w:val="single" w:color="auto" w:sz="8" w:space="0"/>
              <w:left w:val="nil"/>
              <w:bottom w:val="single" w:color="auto" w:sz="4" w:space="0"/>
              <w:right w:val="single" w:color="auto" w:sz="8" w:space="0"/>
            </w:tcBorders>
            <w:vAlign w:val="center"/>
          </w:tcPr>
          <w:p>
            <w:pPr>
              <w:widowControl/>
              <w:spacing w:line="300" w:lineRule="atLeast"/>
              <w:jc w:val="left"/>
              <w:rPr>
                <w:rFonts w:ascii="Times New Roman" w:hAnsi="Times New Roman"/>
                <w:shd w:val="clear" w:color="auto" w:fill="FFFFFF"/>
              </w:rPr>
            </w:pPr>
            <w:r>
              <w:rPr>
                <w:rFonts w:ascii="Times New Roman" w:hAnsi="Times New Roman"/>
                <w:shd w:val="clear" w:color="auto" w:fill="FFFFFF"/>
              </w:rPr>
              <w:t>中心配有矿井通风系统与安全实验装置，瓦斯（煤尘）爆炸实验演示装置，灾变风流逆转演示装置，煤与瓦斯突出演示装置，瓦斯抽采系统演示装置，探放水模型，瓦斯抽采实操模拟装置，防突实操模拟装置，综采工作面仿真配套设备系统装置等实验设备。</w:t>
            </w:r>
          </w:p>
        </w:tc>
      </w:tr>
    </w:tbl>
    <w:p>
      <w:pPr>
        <w:rPr>
          <w:rFonts w:ascii="Times New Roman" w:hAnsi="Times New Roman"/>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altName w:val="方正舒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汉鼎简仿宋">
    <w:altName w:val="仿宋"/>
    <w:panose1 w:val="00000000000000000000"/>
    <w:charset w:val="86"/>
    <w:family w:val="modern"/>
    <w:pitch w:val="default"/>
    <w:sig w:usb0="00000000" w:usb1="00000000" w:usb2="00000010" w:usb3="00000000" w:csb0="00040000" w:csb1="00000000"/>
  </w:font>
  <w:font w:name="方正仿宋简体">
    <w:altName w:val="微软雅黑"/>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667951"/>
      <w:docPartObj>
        <w:docPartGallery w:val="AutoText"/>
      </w:docPartObj>
    </w:sdtPr>
    <w:sdtEndPr>
      <w:rPr>
        <w:sz w:val="24"/>
        <w:szCs w:val="24"/>
      </w:rPr>
    </w:sdtEndPr>
    <w:sdtContent>
      <w:p>
        <w:pPr>
          <w:pStyle w:val="11"/>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60</w:t>
        </w:r>
        <w:r>
          <w:rPr>
            <w:sz w:val="24"/>
            <w:szCs w:val="24"/>
          </w:rPr>
          <w:fldChar w:fldCharType="end"/>
        </w:r>
      </w:p>
    </w:sdtContent>
  </w:sdt>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D07DD8"/>
    <w:multiLevelType w:val="singleLevel"/>
    <w:tmpl w:val="54D07DD8"/>
    <w:lvl w:ilvl="0" w:tentative="0">
      <w:start w:val="2"/>
      <w:numFmt w:val="decimal"/>
      <w:suff w:val="nothing"/>
      <w:lvlText w:val="%1．"/>
      <w:lvlJc w:val="left"/>
    </w:lvl>
  </w:abstractNum>
  <w:abstractNum w:abstractNumId="1">
    <w:nsid w:val="55096383"/>
    <w:multiLevelType w:val="singleLevel"/>
    <w:tmpl w:val="55096383"/>
    <w:lvl w:ilvl="0" w:tentative="0">
      <w:start w:val="3"/>
      <w:numFmt w:val="chineseCounting"/>
      <w:suff w:val="nothing"/>
      <w:lvlText w:val="（%1）"/>
      <w:lvlJc w:val="left"/>
    </w:lvl>
  </w:abstractNum>
  <w:abstractNum w:abstractNumId="2">
    <w:nsid w:val="717D24E6"/>
    <w:multiLevelType w:val="multilevel"/>
    <w:tmpl w:val="717D24E6"/>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NmM2U1ZDAxZjZhYmRjZGZhYWMyYmIyYTJjYjhlYzMifQ=="/>
  </w:docVars>
  <w:rsids>
    <w:rsidRoot w:val="00625BB9"/>
    <w:rsid w:val="0001108D"/>
    <w:rsid w:val="00032F58"/>
    <w:rsid w:val="00037314"/>
    <w:rsid w:val="00046F81"/>
    <w:rsid w:val="00071835"/>
    <w:rsid w:val="000774F8"/>
    <w:rsid w:val="000A16FE"/>
    <w:rsid w:val="000D5FA8"/>
    <w:rsid w:val="000F4A49"/>
    <w:rsid w:val="000F602C"/>
    <w:rsid w:val="00101FE9"/>
    <w:rsid w:val="00155270"/>
    <w:rsid w:val="001B17F3"/>
    <w:rsid w:val="001C796C"/>
    <w:rsid w:val="00231480"/>
    <w:rsid w:val="00257F06"/>
    <w:rsid w:val="00260056"/>
    <w:rsid w:val="002D237D"/>
    <w:rsid w:val="002D42EF"/>
    <w:rsid w:val="00315103"/>
    <w:rsid w:val="00376AB9"/>
    <w:rsid w:val="003A4CD0"/>
    <w:rsid w:val="003B3B44"/>
    <w:rsid w:val="003D1295"/>
    <w:rsid w:val="003D36CD"/>
    <w:rsid w:val="003D504B"/>
    <w:rsid w:val="00401C71"/>
    <w:rsid w:val="00410D33"/>
    <w:rsid w:val="00433EFF"/>
    <w:rsid w:val="004500C7"/>
    <w:rsid w:val="00494E48"/>
    <w:rsid w:val="00524477"/>
    <w:rsid w:val="0055430D"/>
    <w:rsid w:val="0055514F"/>
    <w:rsid w:val="005802D5"/>
    <w:rsid w:val="005B5294"/>
    <w:rsid w:val="005C3154"/>
    <w:rsid w:val="005C7135"/>
    <w:rsid w:val="005E202E"/>
    <w:rsid w:val="00614792"/>
    <w:rsid w:val="00616418"/>
    <w:rsid w:val="0062254E"/>
    <w:rsid w:val="00625BB9"/>
    <w:rsid w:val="00636DE8"/>
    <w:rsid w:val="00655B4F"/>
    <w:rsid w:val="006726E5"/>
    <w:rsid w:val="0076120F"/>
    <w:rsid w:val="007A0E0B"/>
    <w:rsid w:val="007E505F"/>
    <w:rsid w:val="0080351B"/>
    <w:rsid w:val="00833BC7"/>
    <w:rsid w:val="00867151"/>
    <w:rsid w:val="008939CC"/>
    <w:rsid w:val="008A48B4"/>
    <w:rsid w:val="008C10E9"/>
    <w:rsid w:val="0090639E"/>
    <w:rsid w:val="00990846"/>
    <w:rsid w:val="00A27BE5"/>
    <w:rsid w:val="00A42EDA"/>
    <w:rsid w:val="00A5047C"/>
    <w:rsid w:val="00AA472F"/>
    <w:rsid w:val="00AA7F04"/>
    <w:rsid w:val="00B014BE"/>
    <w:rsid w:val="00B05835"/>
    <w:rsid w:val="00B640F2"/>
    <w:rsid w:val="00B70C8F"/>
    <w:rsid w:val="00BA5FE9"/>
    <w:rsid w:val="00BB1541"/>
    <w:rsid w:val="00BE638C"/>
    <w:rsid w:val="00BE68CF"/>
    <w:rsid w:val="00BF7039"/>
    <w:rsid w:val="00C02231"/>
    <w:rsid w:val="00C73F63"/>
    <w:rsid w:val="00C771C8"/>
    <w:rsid w:val="00CA2FBE"/>
    <w:rsid w:val="00CA6803"/>
    <w:rsid w:val="00CB670D"/>
    <w:rsid w:val="00CD446A"/>
    <w:rsid w:val="00CF2DE1"/>
    <w:rsid w:val="00D14767"/>
    <w:rsid w:val="00D4247B"/>
    <w:rsid w:val="00D46B91"/>
    <w:rsid w:val="00DA4B7A"/>
    <w:rsid w:val="00DC53C1"/>
    <w:rsid w:val="00E008B2"/>
    <w:rsid w:val="00E1051D"/>
    <w:rsid w:val="00E75096"/>
    <w:rsid w:val="00EB67C8"/>
    <w:rsid w:val="00ED57C6"/>
    <w:rsid w:val="00EF0FCE"/>
    <w:rsid w:val="00F45E38"/>
    <w:rsid w:val="00F66EB9"/>
    <w:rsid w:val="00FA6972"/>
    <w:rsid w:val="00FC39C5"/>
    <w:rsid w:val="730A4B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ind w:firstLine="200" w:firstLineChars="200"/>
      <w:outlineLvl w:val="0"/>
    </w:pPr>
    <w:rPr>
      <w:rFonts w:cs="Calibri"/>
      <w:b/>
      <w:bCs/>
      <w:kern w:val="44"/>
      <w:sz w:val="44"/>
      <w:szCs w:val="44"/>
    </w:rPr>
  </w:style>
  <w:style w:type="paragraph" w:styleId="3">
    <w:name w:val="heading 2"/>
    <w:basedOn w:val="1"/>
    <w:next w:val="1"/>
    <w:link w:val="27"/>
    <w:qFormat/>
    <w:uiPriority w:val="0"/>
    <w:pPr>
      <w:keepNext/>
      <w:keepLines/>
      <w:spacing w:before="260" w:after="260" w:line="416" w:lineRule="auto"/>
      <w:outlineLvl w:val="1"/>
    </w:pPr>
    <w:rPr>
      <w:rFonts w:ascii="Cambria" w:hAnsi="Cambria" w:cs="Cambria"/>
      <w:b/>
      <w:bCs/>
      <w:kern w:val="0"/>
      <w:sz w:val="32"/>
      <w:szCs w:val="32"/>
    </w:rPr>
  </w:style>
  <w:style w:type="paragraph" w:styleId="4">
    <w:name w:val="heading 3"/>
    <w:basedOn w:val="1"/>
    <w:next w:val="1"/>
    <w:link w:val="40"/>
    <w:qFormat/>
    <w:uiPriority w:val="0"/>
    <w:pPr>
      <w:keepNext/>
      <w:keepLines/>
      <w:spacing w:before="260" w:after="260" w:line="416" w:lineRule="auto"/>
      <w:outlineLvl w:val="2"/>
    </w:pPr>
    <w:rPr>
      <w:rFonts w:ascii="Times New Roman" w:hAnsi="Times New Roman"/>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2520" w:leftChars="1200"/>
    </w:pPr>
    <w:rPr>
      <w:rFonts w:cs="Calibri"/>
      <w:szCs w:val="21"/>
    </w:rPr>
  </w:style>
  <w:style w:type="paragraph" w:styleId="6">
    <w:name w:val="toc 5"/>
    <w:basedOn w:val="1"/>
    <w:next w:val="1"/>
    <w:qFormat/>
    <w:uiPriority w:val="0"/>
    <w:pPr>
      <w:ind w:left="1680" w:leftChars="800"/>
    </w:pPr>
    <w:rPr>
      <w:rFonts w:cs="Calibri"/>
      <w:szCs w:val="21"/>
    </w:rPr>
  </w:style>
  <w:style w:type="paragraph" w:styleId="7">
    <w:name w:val="toc 3"/>
    <w:basedOn w:val="1"/>
    <w:next w:val="1"/>
    <w:qFormat/>
    <w:uiPriority w:val="0"/>
    <w:pPr>
      <w:ind w:left="840" w:leftChars="400"/>
    </w:pPr>
    <w:rPr>
      <w:rFonts w:cs="Calibri"/>
      <w:szCs w:val="21"/>
    </w:rPr>
  </w:style>
  <w:style w:type="paragraph" w:styleId="8">
    <w:name w:val="Plain Text"/>
    <w:basedOn w:val="1"/>
    <w:link w:val="44"/>
    <w:qFormat/>
    <w:uiPriority w:val="0"/>
    <w:rPr>
      <w:rFonts w:ascii="宋体" w:hAnsi="Courier New" w:cs="Courier New"/>
      <w:szCs w:val="21"/>
    </w:rPr>
  </w:style>
  <w:style w:type="paragraph" w:styleId="9">
    <w:name w:val="toc 8"/>
    <w:basedOn w:val="1"/>
    <w:next w:val="1"/>
    <w:qFormat/>
    <w:uiPriority w:val="0"/>
    <w:pPr>
      <w:ind w:left="2940" w:leftChars="1400"/>
    </w:pPr>
    <w:rPr>
      <w:rFonts w:cs="Calibri"/>
      <w:szCs w:val="21"/>
    </w:rPr>
  </w:style>
  <w:style w:type="paragraph" w:styleId="10">
    <w:name w:val="Balloon Text"/>
    <w:basedOn w:val="1"/>
    <w:link w:val="43"/>
    <w:qFormat/>
    <w:uiPriority w:val="0"/>
    <w:rPr>
      <w:rFonts w:asciiTheme="minorHAnsi" w:hAnsiTheme="minorHAnsi" w:eastAsiaTheme="minorEastAsia" w:cstheme="minorBidi"/>
      <w:sz w:val="18"/>
      <w:szCs w:val="18"/>
    </w:rPr>
  </w:style>
  <w:style w:type="paragraph" w:styleId="11">
    <w:name w:val="footer"/>
    <w:basedOn w:val="1"/>
    <w:link w:val="28"/>
    <w:qFormat/>
    <w:uiPriority w:val="99"/>
    <w:pPr>
      <w:tabs>
        <w:tab w:val="center" w:pos="4153"/>
        <w:tab w:val="right" w:pos="8306"/>
      </w:tabs>
      <w:snapToGrid w:val="0"/>
      <w:jc w:val="left"/>
    </w:pPr>
    <w:rPr>
      <w:rFonts w:cs="Calibri"/>
      <w:kern w:val="0"/>
      <w:sz w:val="18"/>
      <w:szCs w:val="18"/>
    </w:rPr>
  </w:style>
  <w:style w:type="paragraph" w:styleId="12">
    <w:name w:val="header"/>
    <w:basedOn w:val="1"/>
    <w:link w:val="29"/>
    <w:qFormat/>
    <w:uiPriority w:val="99"/>
    <w:pPr>
      <w:pBdr>
        <w:bottom w:val="single" w:color="auto" w:sz="6" w:space="1"/>
      </w:pBdr>
      <w:tabs>
        <w:tab w:val="center" w:pos="4153"/>
        <w:tab w:val="right" w:pos="8306"/>
      </w:tabs>
      <w:snapToGrid w:val="0"/>
      <w:jc w:val="center"/>
    </w:pPr>
    <w:rPr>
      <w:rFonts w:cs="Calibri"/>
      <w:kern w:val="0"/>
      <w:sz w:val="18"/>
      <w:szCs w:val="18"/>
    </w:rPr>
  </w:style>
  <w:style w:type="paragraph" w:styleId="13">
    <w:name w:val="toc 1"/>
    <w:basedOn w:val="1"/>
    <w:next w:val="1"/>
    <w:qFormat/>
    <w:uiPriority w:val="39"/>
    <w:rPr>
      <w:rFonts w:cs="Calibri"/>
      <w:szCs w:val="21"/>
    </w:rPr>
  </w:style>
  <w:style w:type="paragraph" w:styleId="14">
    <w:name w:val="toc 4"/>
    <w:basedOn w:val="1"/>
    <w:next w:val="1"/>
    <w:uiPriority w:val="0"/>
    <w:pPr>
      <w:ind w:left="1260" w:leftChars="600"/>
    </w:pPr>
    <w:rPr>
      <w:rFonts w:cs="Calibri"/>
      <w:szCs w:val="21"/>
    </w:rPr>
  </w:style>
  <w:style w:type="paragraph" w:styleId="15">
    <w:name w:val="toc 6"/>
    <w:basedOn w:val="1"/>
    <w:next w:val="1"/>
    <w:uiPriority w:val="0"/>
    <w:pPr>
      <w:ind w:left="2100" w:leftChars="1000"/>
    </w:pPr>
    <w:rPr>
      <w:rFonts w:cs="Calibri"/>
      <w:szCs w:val="21"/>
    </w:rPr>
  </w:style>
  <w:style w:type="paragraph" w:styleId="16">
    <w:name w:val="Body Text Indent 3"/>
    <w:basedOn w:val="1"/>
    <w:link w:val="42"/>
    <w:qFormat/>
    <w:uiPriority w:val="0"/>
    <w:pPr>
      <w:ind w:firstLine="560" w:firstLineChars="200"/>
    </w:pPr>
    <w:rPr>
      <w:rFonts w:ascii="宋体" w:hAnsi="宋体" w:eastAsiaTheme="minorEastAsia" w:cstheme="minorBidi"/>
      <w:sz w:val="28"/>
      <w:szCs w:val="28"/>
    </w:rPr>
  </w:style>
  <w:style w:type="paragraph" w:styleId="17">
    <w:name w:val="toc 2"/>
    <w:basedOn w:val="1"/>
    <w:next w:val="1"/>
    <w:qFormat/>
    <w:uiPriority w:val="39"/>
    <w:pPr>
      <w:ind w:left="420" w:leftChars="200"/>
    </w:pPr>
    <w:rPr>
      <w:rFonts w:cs="Calibri"/>
      <w:szCs w:val="21"/>
    </w:rPr>
  </w:style>
  <w:style w:type="paragraph" w:styleId="18">
    <w:name w:val="toc 9"/>
    <w:basedOn w:val="1"/>
    <w:next w:val="1"/>
    <w:qFormat/>
    <w:uiPriority w:val="0"/>
    <w:pPr>
      <w:ind w:left="3360" w:leftChars="1600"/>
    </w:pPr>
    <w:rPr>
      <w:rFonts w:cs="Calibri"/>
      <w:szCs w:val="21"/>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0">
    <w:name w:val="Title"/>
    <w:basedOn w:val="1"/>
    <w:next w:val="1"/>
    <w:link w:val="37"/>
    <w:qFormat/>
    <w:uiPriority w:val="0"/>
    <w:pPr>
      <w:spacing w:before="240" w:after="60"/>
      <w:jc w:val="center"/>
      <w:outlineLvl w:val="0"/>
    </w:pPr>
    <w:rPr>
      <w:rFonts w:ascii="Cambria" w:hAnsi="Cambria" w:eastAsiaTheme="minorEastAsia"/>
      <w:b/>
      <w:bCs/>
      <w:sz w:val="32"/>
      <w:szCs w:val="32"/>
    </w:rPr>
  </w:style>
  <w:style w:type="character" w:styleId="23">
    <w:name w:val="page number"/>
    <w:basedOn w:val="22"/>
    <w:qFormat/>
    <w:uiPriority w:val="0"/>
  </w:style>
  <w:style w:type="character" w:styleId="24">
    <w:name w:val="FollowedHyperlink"/>
    <w:basedOn w:val="22"/>
    <w:semiHidden/>
    <w:unhideWhenUsed/>
    <w:qFormat/>
    <w:uiPriority w:val="99"/>
    <w:rPr>
      <w:color w:val="954F72" w:themeColor="followedHyperlink"/>
      <w:u w:val="single"/>
    </w:rPr>
  </w:style>
  <w:style w:type="character" w:styleId="25">
    <w:name w:val="Hyperlink"/>
    <w:basedOn w:val="22"/>
    <w:unhideWhenUsed/>
    <w:qFormat/>
    <w:uiPriority w:val="99"/>
    <w:rPr>
      <w:color w:val="0000FF"/>
      <w:u w:val="single"/>
    </w:rPr>
  </w:style>
  <w:style w:type="character" w:customStyle="1" w:styleId="26">
    <w:name w:val="标题 1 Char"/>
    <w:basedOn w:val="22"/>
    <w:link w:val="2"/>
    <w:qFormat/>
    <w:uiPriority w:val="0"/>
    <w:rPr>
      <w:rFonts w:ascii="Calibri" w:hAnsi="Calibri" w:eastAsia="宋体" w:cs="Calibri"/>
      <w:b/>
      <w:bCs/>
      <w:kern w:val="44"/>
      <w:sz w:val="44"/>
      <w:szCs w:val="44"/>
    </w:rPr>
  </w:style>
  <w:style w:type="character" w:customStyle="1" w:styleId="27">
    <w:name w:val="标题 2 Char"/>
    <w:basedOn w:val="22"/>
    <w:link w:val="3"/>
    <w:qFormat/>
    <w:uiPriority w:val="0"/>
    <w:rPr>
      <w:rFonts w:ascii="Cambria" w:hAnsi="Cambria" w:eastAsia="宋体" w:cs="Cambria"/>
      <w:b/>
      <w:bCs/>
      <w:kern w:val="0"/>
      <w:sz w:val="32"/>
      <w:szCs w:val="32"/>
    </w:rPr>
  </w:style>
  <w:style w:type="character" w:customStyle="1" w:styleId="28">
    <w:name w:val="页脚 Char"/>
    <w:basedOn w:val="22"/>
    <w:link w:val="11"/>
    <w:uiPriority w:val="99"/>
    <w:rPr>
      <w:rFonts w:ascii="Calibri" w:hAnsi="Calibri" w:eastAsia="宋体" w:cs="Calibri"/>
      <w:kern w:val="0"/>
      <w:sz w:val="18"/>
      <w:szCs w:val="18"/>
    </w:rPr>
  </w:style>
  <w:style w:type="character" w:customStyle="1" w:styleId="29">
    <w:name w:val="页眉 Char"/>
    <w:basedOn w:val="22"/>
    <w:link w:val="12"/>
    <w:qFormat/>
    <w:uiPriority w:val="99"/>
    <w:rPr>
      <w:rFonts w:ascii="Calibri" w:hAnsi="Calibri" w:eastAsia="宋体" w:cs="Calibri"/>
      <w:kern w:val="0"/>
      <w:sz w:val="18"/>
      <w:szCs w:val="18"/>
    </w:rPr>
  </w:style>
  <w:style w:type="paragraph" w:customStyle="1" w:styleId="30">
    <w:name w:val="列出段落1"/>
    <w:basedOn w:val="1"/>
    <w:qFormat/>
    <w:uiPriority w:val="99"/>
    <w:pPr>
      <w:ind w:firstLine="420" w:firstLineChars="200"/>
    </w:pPr>
    <w:rPr>
      <w:rFonts w:cs="Calibri"/>
      <w:szCs w:val="21"/>
    </w:rPr>
  </w:style>
  <w:style w:type="paragraph" w:customStyle="1" w:styleId="31">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
    <w:name w:val="无间隔1"/>
    <w:qFormat/>
    <w:uiPriority w:val="0"/>
    <w:pPr>
      <w:widowControl w:val="0"/>
      <w:jc w:val="both"/>
    </w:pPr>
    <w:rPr>
      <w:rFonts w:ascii="Calibri" w:hAnsi="Calibri" w:eastAsia="宋体" w:cs="Calibri"/>
      <w:kern w:val="2"/>
      <w:sz w:val="21"/>
      <w:szCs w:val="21"/>
      <w:lang w:val="en-US" w:eastAsia="zh-CN" w:bidi="ar-SA"/>
    </w:rPr>
  </w:style>
  <w:style w:type="character" w:customStyle="1" w:styleId="33">
    <w:name w:val="blackday"/>
    <w:basedOn w:val="22"/>
    <w:qFormat/>
    <w:uiPriority w:val="0"/>
  </w:style>
  <w:style w:type="paragraph" w:customStyle="1" w:styleId="34">
    <w:name w:val="List Paragraph1"/>
    <w:basedOn w:val="1"/>
    <w:qFormat/>
    <w:uiPriority w:val="0"/>
    <w:pPr>
      <w:ind w:firstLine="420" w:firstLineChars="200"/>
    </w:pPr>
    <w:rPr>
      <w:rFonts w:cs="Calibri"/>
      <w:szCs w:val="21"/>
    </w:rPr>
  </w:style>
  <w:style w:type="character" w:customStyle="1" w:styleId="35">
    <w:name w:val="apple-converted-space"/>
    <w:basedOn w:val="22"/>
    <w:qFormat/>
    <w:uiPriority w:val="0"/>
  </w:style>
  <w:style w:type="paragraph" w:styleId="36">
    <w:name w:val="List Paragraph"/>
    <w:basedOn w:val="1"/>
    <w:qFormat/>
    <w:uiPriority w:val="34"/>
    <w:pPr>
      <w:ind w:firstLine="420" w:firstLineChars="200"/>
    </w:pPr>
  </w:style>
  <w:style w:type="character" w:customStyle="1" w:styleId="37">
    <w:name w:val="标题 Char"/>
    <w:link w:val="20"/>
    <w:qFormat/>
    <w:uiPriority w:val="0"/>
    <w:rPr>
      <w:rFonts w:ascii="Cambria" w:hAnsi="Cambria" w:cs="Times New Roman"/>
      <w:b/>
      <w:bCs/>
      <w:sz w:val="32"/>
      <w:szCs w:val="32"/>
    </w:rPr>
  </w:style>
  <w:style w:type="character" w:customStyle="1" w:styleId="38">
    <w:name w:val="标题 Char1"/>
    <w:basedOn w:val="22"/>
    <w:qFormat/>
    <w:uiPriority w:val="10"/>
    <w:rPr>
      <w:rFonts w:eastAsia="宋体" w:asciiTheme="majorHAnsi" w:hAnsiTheme="majorHAnsi" w:cstheme="majorBidi"/>
      <w:b/>
      <w:bCs/>
      <w:sz w:val="32"/>
      <w:szCs w:val="32"/>
    </w:rPr>
  </w:style>
  <w:style w:type="paragraph" w:customStyle="1" w:styleId="39">
    <w:name w:val="图说"/>
    <w:basedOn w:val="1"/>
    <w:qFormat/>
    <w:uiPriority w:val="0"/>
    <w:pPr>
      <w:spacing w:before="60" w:after="160"/>
      <w:jc w:val="left"/>
    </w:pPr>
    <w:rPr>
      <w:rFonts w:ascii="宋体" w:hAnsi="宋体"/>
      <w:szCs w:val="21"/>
    </w:rPr>
  </w:style>
  <w:style w:type="character" w:customStyle="1" w:styleId="40">
    <w:name w:val="标题 3 Char"/>
    <w:basedOn w:val="22"/>
    <w:link w:val="4"/>
    <w:qFormat/>
    <w:uiPriority w:val="0"/>
    <w:rPr>
      <w:rFonts w:ascii="Times New Roman" w:hAnsi="Times New Roman" w:eastAsia="宋体" w:cs="Times New Roman"/>
      <w:b/>
      <w:bCs/>
      <w:sz w:val="32"/>
      <w:szCs w:val="32"/>
    </w:rPr>
  </w:style>
  <w:style w:type="character" w:customStyle="1" w:styleId="41">
    <w:name w:val="hover"/>
    <w:basedOn w:val="22"/>
    <w:qFormat/>
    <w:uiPriority w:val="0"/>
  </w:style>
  <w:style w:type="character" w:customStyle="1" w:styleId="42">
    <w:name w:val="正文文本缩进 3 Char"/>
    <w:link w:val="16"/>
    <w:qFormat/>
    <w:uiPriority w:val="0"/>
    <w:rPr>
      <w:rFonts w:ascii="宋体" w:hAnsi="宋体"/>
      <w:sz w:val="28"/>
      <w:szCs w:val="28"/>
    </w:rPr>
  </w:style>
  <w:style w:type="character" w:customStyle="1" w:styleId="43">
    <w:name w:val="批注框文本 Char"/>
    <w:link w:val="10"/>
    <w:qFormat/>
    <w:uiPriority w:val="0"/>
    <w:rPr>
      <w:sz w:val="18"/>
      <w:szCs w:val="18"/>
    </w:rPr>
  </w:style>
  <w:style w:type="character" w:customStyle="1" w:styleId="44">
    <w:name w:val="纯文本 Char"/>
    <w:basedOn w:val="22"/>
    <w:link w:val="8"/>
    <w:qFormat/>
    <w:uiPriority w:val="0"/>
    <w:rPr>
      <w:rFonts w:ascii="宋体" w:hAnsi="Courier New" w:eastAsia="宋体" w:cs="Courier New"/>
      <w:szCs w:val="21"/>
    </w:rPr>
  </w:style>
  <w:style w:type="character" w:customStyle="1" w:styleId="45">
    <w:name w:val="批注框文本 Char1"/>
    <w:basedOn w:val="22"/>
    <w:semiHidden/>
    <w:qFormat/>
    <w:uiPriority w:val="99"/>
    <w:rPr>
      <w:rFonts w:ascii="Calibri" w:hAnsi="Calibri" w:eastAsia="宋体" w:cs="Times New Roman"/>
      <w:sz w:val="18"/>
      <w:szCs w:val="18"/>
    </w:rPr>
  </w:style>
  <w:style w:type="paragraph" w:customStyle="1" w:styleId="46">
    <w:name w:val="（正文）"/>
    <w:basedOn w:val="1"/>
    <w:qFormat/>
    <w:uiPriority w:val="0"/>
    <w:pPr>
      <w:adjustRightInd w:val="0"/>
      <w:snapToGrid w:val="0"/>
      <w:spacing w:line="312" w:lineRule="atLeast"/>
      <w:ind w:firstLine="340"/>
    </w:pPr>
    <w:rPr>
      <w:rFonts w:ascii="Times New Roman" w:hAnsi="Times New Roman"/>
      <w:szCs w:val="20"/>
    </w:rPr>
  </w:style>
  <w:style w:type="paragraph" w:customStyle="1" w:styleId="47">
    <w:name w:val="表文"/>
    <w:basedOn w:val="1"/>
    <w:qFormat/>
    <w:uiPriority w:val="0"/>
    <w:pPr>
      <w:adjustRightInd w:val="0"/>
      <w:snapToGrid w:val="0"/>
      <w:spacing w:line="240" w:lineRule="atLeast"/>
    </w:pPr>
    <w:rPr>
      <w:rFonts w:ascii="Times New Roman" w:hAnsi="Times New Roman"/>
      <w:sz w:val="18"/>
      <w:szCs w:val="20"/>
    </w:rPr>
  </w:style>
  <w:style w:type="character" w:customStyle="1" w:styleId="48">
    <w:name w:val="正文文本缩进 3 Char1"/>
    <w:basedOn w:val="22"/>
    <w:semiHidden/>
    <w:qFormat/>
    <w:uiPriority w:val="99"/>
    <w:rPr>
      <w:rFonts w:ascii="Calibri" w:hAnsi="Calibri" w:eastAsia="宋体" w:cs="Times New Roman"/>
      <w:sz w:val="16"/>
      <w:szCs w:val="16"/>
    </w:rPr>
  </w:style>
  <w:style w:type="paragraph" w:customStyle="1" w:styleId="49">
    <w:name w:val="_Style 47"/>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
    <w:name w:val="Balloon Text Char"/>
    <w:semiHidden/>
    <w:qFormat/>
    <w:locked/>
    <w:uiPriority w:val="0"/>
    <w:rPr>
      <w:rFonts w:ascii="Calibri" w:hAnsi="Calibri" w:eastAsia="宋体" w:cs="Calibr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CBE10-DECB-400C-B28B-973F9A9EBDBE}">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11691</Words>
  <Characters>66642</Characters>
  <Lines>555</Lines>
  <Paragraphs>156</Paragraphs>
  <TotalTime>467</TotalTime>
  <ScaleCrop>false</ScaleCrop>
  <LinksUpToDate>false</LinksUpToDate>
  <CharactersWithSpaces>78177</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2015-06-25T08:52:00Z</dcterms:created>
  <dc:creator>Ye Yuan</dc:creator>
  <cp:lastModifiedBy>JunRui*</cp:lastModifiedBy>
  <cp:lastPrinted>2015-08-12T02:31:00Z</cp:lastPrinted>
  <dcterms:modified xsi:type="dcterms:W3CDTF">2023-09-04T07:41:30Z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6775E443DC3440528891BD632D1C33A2_12</vt:lpwstr>
  </property>
</Properties>
</file>