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ind w:firstLine="0" w:firstLineChars="0"/>
        <w:jc w:val="center"/>
        <w:rPr>
          <w:rFonts w:asciiTheme="minorEastAsia" w:hAnsiTheme="minorEastAsia" w:eastAsiaTheme="minorEastAsia"/>
          <w:b/>
          <w:bCs/>
          <w:color w:val="000000" w:themeColor="text1"/>
          <w:sz w:val="32"/>
          <w:szCs w:val="32"/>
        </w:rPr>
      </w:pPr>
      <w:r>
        <w:rPr>
          <w:rFonts w:hint="eastAsia" w:asciiTheme="minorEastAsia" w:hAnsiTheme="minorEastAsia" w:eastAsiaTheme="minorEastAsia"/>
          <w:b/>
          <w:bCs/>
          <w:color w:val="000000" w:themeColor="text1"/>
          <w:sz w:val="32"/>
          <w:szCs w:val="32"/>
        </w:rPr>
        <w:t>资源环境</w:t>
      </w:r>
      <w:r>
        <w:rPr>
          <w:rFonts w:asciiTheme="minorEastAsia" w:hAnsiTheme="minorEastAsia" w:eastAsiaTheme="minorEastAsia"/>
          <w:b/>
          <w:bCs/>
          <w:color w:val="000000" w:themeColor="text1"/>
          <w:sz w:val="32"/>
          <w:szCs w:val="32"/>
        </w:rPr>
        <w:t>与安全</w:t>
      </w:r>
      <w:r>
        <w:rPr>
          <w:rFonts w:hint="eastAsia" w:asciiTheme="minorEastAsia" w:hAnsiTheme="minorEastAsia" w:eastAsiaTheme="minorEastAsia"/>
          <w:b/>
          <w:bCs/>
          <w:color w:val="000000" w:themeColor="text1"/>
          <w:sz w:val="32"/>
          <w:szCs w:val="32"/>
        </w:rPr>
        <w:t>大类安全类</w:t>
      </w:r>
    </w:p>
    <w:p>
      <w:pPr>
        <w:spacing w:afterLines="50"/>
        <w:ind w:firstLine="0" w:firstLineChars="0"/>
        <w:jc w:val="center"/>
        <w:rPr>
          <w:rFonts w:asciiTheme="minorEastAsia" w:hAnsiTheme="minorEastAsia" w:eastAsiaTheme="minorEastAsia"/>
          <w:b/>
          <w:bCs/>
          <w:color w:val="000000" w:themeColor="text1"/>
          <w:sz w:val="32"/>
          <w:szCs w:val="32"/>
        </w:rPr>
      </w:pPr>
      <w:r>
        <w:rPr>
          <w:rFonts w:hint="eastAsia" w:asciiTheme="minorEastAsia" w:hAnsiTheme="minorEastAsia" w:eastAsiaTheme="minorEastAsia"/>
          <w:b/>
          <w:bCs/>
          <w:color w:val="000000" w:themeColor="text1"/>
          <w:sz w:val="32"/>
          <w:szCs w:val="32"/>
        </w:rPr>
        <w:t>安全技术</w:t>
      </w:r>
      <w:r>
        <w:rPr>
          <w:rFonts w:asciiTheme="minorEastAsia" w:hAnsiTheme="minorEastAsia" w:eastAsiaTheme="minorEastAsia"/>
          <w:b/>
          <w:bCs/>
          <w:color w:val="000000" w:themeColor="text1"/>
          <w:sz w:val="32"/>
          <w:szCs w:val="32"/>
        </w:rPr>
        <w:t>与管理</w:t>
      </w:r>
      <w:r>
        <w:rPr>
          <w:rFonts w:hint="eastAsia" w:asciiTheme="minorEastAsia" w:hAnsiTheme="minorEastAsia" w:eastAsiaTheme="minorEastAsia"/>
          <w:b/>
          <w:bCs/>
          <w:color w:val="000000" w:themeColor="text1"/>
          <w:sz w:val="32"/>
          <w:szCs w:val="32"/>
        </w:rPr>
        <w:t>（专科）专业可行性论证报告</w:t>
      </w:r>
    </w:p>
    <w:p>
      <w:pPr>
        <w:keepNext w:val="0"/>
        <w:keepLines w:val="0"/>
        <w:pageBreakBefore w:val="0"/>
        <w:widowControl w:val="0"/>
        <w:kinsoku/>
        <w:wordWrap/>
        <w:overflowPunct/>
        <w:topLinePunct w:val="0"/>
        <w:autoSpaceDE/>
        <w:autoSpaceDN/>
        <w:bidi w:val="0"/>
        <w:spacing w:line="360" w:lineRule="auto"/>
        <w:ind w:left="0" w:leftChars="0" w:right="0" w:rightChars="0" w:firstLine="0" w:firstLineChars="0"/>
        <w:jc w:val="both"/>
        <w:textAlignment w:val="auto"/>
        <w:outlineLvl w:val="9"/>
        <w:rPr>
          <w:rFonts w:hint="eastAsia" w:asciiTheme="minorEastAsia" w:hAnsiTheme="minorEastAsia" w:eastAsiaTheme="minorEastAsia"/>
          <w:sz w:val="21"/>
          <w:szCs w:val="21"/>
        </w:rPr>
      </w:pPr>
    </w:p>
    <w:p>
      <w:pPr>
        <w:keepNext w:val="0"/>
        <w:keepLines w:val="0"/>
        <w:pageBreakBefore w:val="0"/>
        <w:widowControl w:val="0"/>
        <w:kinsoku/>
        <w:wordWrap/>
        <w:overflowPunct/>
        <w:topLinePunct w:val="0"/>
        <w:autoSpaceDE/>
        <w:autoSpaceDN/>
        <w:bidi w:val="0"/>
        <w:spacing w:line="360" w:lineRule="auto"/>
        <w:ind w:left="0" w:leftChars="0" w:right="0" w:rightChars="0" w:firstLine="0" w:firstLineChars="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国家开放大学西安分部拟于2016年秋季开设开放教育助力计划《安全技术与管理》（专科）专业，经过近一年时间的调研及筹备形成如下论证报告：</w:t>
      </w:r>
    </w:p>
    <w:p>
      <w:pPr>
        <w:pStyle w:val="14"/>
        <w:pageBreakBefore w:val="0"/>
        <w:widowControl w:val="0"/>
        <w:kinsoku/>
        <w:wordWrap/>
        <w:overflowPunct/>
        <w:topLinePunct w:val="0"/>
        <w:autoSpaceDE/>
        <w:autoSpaceDN/>
        <w:bidi w:val="0"/>
        <w:spacing w:beforeLines="100" w:afterLines="100" w:line="360" w:lineRule="auto"/>
        <w:ind w:left="0" w:leftChars="0" w:right="0" w:rightChars="0" w:firstLine="482"/>
        <w:textAlignment w:val="auto"/>
        <w:rPr>
          <w:rFonts w:asciiTheme="minorEastAsia" w:hAnsiTheme="minorEastAsia" w:eastAsiaTheme="minorEastAsia"/>
          <w:sz w:val="24"/>
          <w:szCs w:val="24"/>
        </w:rPr>
      </w:pPr>
      <w:bookmarkStart w:id="0" w:name="_Toc454441791"/>
      <w:r>
        <w:rPr>
          <w:rFonts w:asciiTheme="minorEastAsia" w:hAnsiTheme="minorEastAsia" w:eastAsiaTheme="minorEastAsia"/>
          <w:sz w:val="24"/>
          <w:szCs w:val="24"/>
        </w:rPr>
        <w:t>一、专业人才的社会需求现状及生源预测</w:t>
      </w:r>
      <w:bookmarkEnd w:id="0"/>
    </w:p>
    <w:p>
      <w:pPr>
        <w:pStyle w:val="2"/>
        <w:pageBreakBefore w:val="0"/>
        <w:widowControl w:val="0"/>
        <w:kinsoku/>
        <w:wordWrap/>
        <w:overflowPunct/>
        <w:topLinePunct w:val="0"/>
        <w:autoSpaceDE/>
        <w:autoSpaceDN/>
        <w:bidi w:val="0"/>
        <w:spacing w:before="326" w:after="326" w:line="360" w:lineRule="auto"/>
        <w:ind w:left="0" w:leftChars="0" w:right="0" w:rightChars="0" w:firstLine="422"/>
        <w:textAlignment w:val="auto"/>
        <w:rPr>
          <w:rFonts w:asciiTheme="minorEastAsia" w:hAnsiTheme="minorEastAsia" w:eastAsiaTheme="minorEastAsia"/>
          <w:sz w:val="21"/>
          <w:szCs w:val="21"/>
        </w:rPr>
      </w:pPr>
      <w:bookmarkStart w:id="1" w:name="_Toc454441792"/>
      <w:r>
        <w:rPr>
          <w:rFonts w:asciiTheme="minorEastAsia" w:hAnsiTheme="minorEastAsia" w:eastAsiaTheme="minorEastAsia"/>
          <w:sz w:val="21"/>
          <w:szCs w:val="21"/>
        </w:rPr>
        <w:t>（一）宏观背景分析</w:t>
      </w:r>
      <w:bookmarkEnd w:id="1"/>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asciiTheme="minorEastAsia" w:hAnsiTheme="minorEastAsia" w:eastAsiaTheme="minorEastAsia"/>
          <w:sz w:val="21"/>
          <w:szCs w:val="21"/>
        </w:rPr>
      </w:pPr>
      <w:r>
        <w:rPr>
          <w:rFonts w:hint="eastAsia" w:asciiTheme="minorEastAsia" w:hAnsiTheme="minorEastAsia" w:eastAsiaTheme="minorEastAsia"/>
          <w:sz w:val="21"/>
          <w:szCs w:val="21"/>
        </w:rPr>
        <w:t>随着我国“一带一路”</w:t>
      </w:r>
      <w:r>
        <w:rPr>
          <w:rFonts w:hint="eastAsia" w:asciiTheme="minorEastAsia" w:hAnsiTheme="minorEastAsia" w:eastAsiaTheme="minorEastAsia"/>
          <w:sz w:val="21"/>
          <w:szCs w:val="21"/>
          <w:lang w:eastAsia="zh-CN"/>
        </w:rPr>
        <w:t>倡议</w:t>
      </w:r>
      <w:bookmarkStart w:id="118" w:name="_GoBack"/>
      <w:bookmarkEnd w:id="118"/>
      <w:r>
        <w:rPr>
          <w:rFonts w:hint="eastAsia" w:asciiTheme="minorEastAsia" w:hAnsiTheme="minorEastAsia" w:eastAsiaTheme="minorEastAsia"/>
          <w:sz w:val="21"/>
          <w:szCs w:val="21"/>
        </w:rPr>
        <w:t>思想的发展，西安市作为古代丝绸之路的起点，以“一带一路”建设为依托，大力发展西部政治、经济、文化中心的重要作用。在西安市政府的大力支持下，国家开放大学西安分部本着立足西安、服务西安社会经济发展的办学宗旨，突出办学特色，为西安市各行各业提供专业技能型人才。</w:t>
      </w:r>
      <w:r>
        <w:rPr>
          <w:rFonts w:asciiTheme="minorEastAsia" w:hAnsiTheme="minorEastAsia" w:eastAsiaTheme="minorEastAsia"/>
          <w:sz w:val="21"/>
          <w:szCs w:val="21"/>
        </w:rPr>
        <w:t>安全管理是随着安全科学技术和管理科学发展而发展，</w:t>
      </w:r>
      <w:r>
        <w:rPr>
          <w:rFonts w:hint="eastAsia" w:asciiTheme="minorEastAsia" w:hAnsiTheme="minorEastAsia" w:eastAsiaTheme="minorEastAsia"/>
          <w:sz w:val="21"/>
          <w:szCs w:val="21"/>
        </w:rPr>
        <w:t>随着</w:t>
      </w:r>
      <w:r>
        <w:rPr>
          <w:rFonts w:asciiTheme="minorEastAsia" w:hAnsiTheme="minorEastAsia" w:eastAsiaTheme="minorEastAsia"/>
          <w:sz w:val="21"/>
          <w:szCs w:val="21"/>
        </w:rPr>
        <w:t>系统安全工程原理和方法的出现，</w:t>
      </w:r>
      <w:r>
        <w:rPr>
          <w:rFonts w:hint="eastAsia" w:asciiTheme="minorEastAsia" w:hAnsiTheme="minorEastAsia" w:eastAsiaTheme="minorEastAsia"/>
          <w:sz w:val="21"/>
          <w:szCs w:val="21"/>
        </w:rPr>
        <w:t>使</w:t>
      </w:r>
      <w:r>
        <w:rPr>
          <w:rFonts w:asciiTheme="minorEastAsia" w:hAnsiTheme="minorEastAsia" w:eastAsiaTheme="minorEastAsia"/>
          <w:sz w:val="21"/>
          <w:szCs w:val="21"/>
        </w:rPr>
        <w:t>安全</w:t>
      </w:r>
      <w:r>
        <w:rPr>
          <w:rFonts w:hint="eastAsia" w:asciiTheme="minorEastAsia" w:hAnsiTheme="minorEastAsia" w:eastAsiaTheme="minorEastAsia"/>
          <w:sz w:val="21"/>
          <w:szCs w:val="21"/>
        </w:rPr>
        <w:t>技术与</w:t>
      </w:r>
      <w:r>
        <w:rPr>
          <w:rFonts w:asciiTheme="minorEastAsia" w:hAnsiTheme="minorEastAsia" w:eastAsiaTheme="minorEastAsia"/>
          <w:sz w:val="21"/>
          <w:szCs w:val="21"/>
        </w:rPr>
        <w:t>管理的内容、方法、原理都有了很大的拓展。</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近年来，西安市经济的快速增长，使人们的生活水平迅速提高，创造就业机会、改进工作条件、公平分配国民生产总值等问题，引起了越来越多经济学家、管理学家、安全工程专家和政治家的注意。工人强烈要求不仅要有工作机会，还要有安全与健康的工作环境。一些工业化国家，进一步加强了安全生产法律法规体系建设，在安全生产方面投入大量的资金进行科学研究，产生了一些安全技术管理原理、事故致因理论和事故预防原理等风险管理理论，以系统安全理论为核心的现代安全管理方法、模式、思想、理论基本形成。</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随着现代制造业和航空航天技术的飞跃发展，人们对职业安全卫生问题的认识也发生了很大变化，安全生产成本、环境成本等成为产品成本的重要组成部分，职业安全卫生问题成为非官方贸易壁垒的利器。在这种背景下，“持续改进”、“以人为本”的安全健康管理理念逐渐被企业管理者所接受，以职业安全健康管理体系为代表的企业安全生产风险管理思想开始形成，现代安全技术管理的内容更加丰富，现代安全技术管理理论、方法、模式以及相应的标准、规范更加成熟。</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现代安全技术管理理论、方法、模式是20世纪五十年代进入我国的，在20世纪六七十年代，我国开始吸收并研究事故致因理论、事故预防理论和现代安全技术管理思想。20世纪八九十年代，开始研究企业安全生产风险评价、危险源辨识和监控，一些企业管理者开始尝试安全生产风险管理。在20世纪末，我国几乎与世界工业化国家同步，研究并推行了职业健康安全管理体系。进入21世纪以来，我国有些学者提出了系统化的企业安全生产风险管理的理论雏形，认为企业安全技术管理是风险管理，管理的内容包括：危险源辨识、风险评价、危险预警与监测管理、事故预防与风险控制管理以及应急管理，该理论将现代风险管理完全融入到了安全技术管理之中。</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从宏观理论上讲，人类针对安全生产的基本措施有3条，称为3大对策，即工程技术对策、教育对策和管理对策。要实现安全生产的3大对策，不得不需要大量的安全工程技术人员。</w:t>
      </w:r>
    </w:p>
    <w:p>
      <w:pPr>
        <w:pStyle w:val="2"/>
        <w:pageBreakBefore w:val="0"/>
        <w:widowControl w:val="0"/>
        <w:kinsoku/>
        <w:wordWrap/>
        <w:overflowPunct/>
        <w:topLinePunct w:val="0"/>
        <w:autoSpaceDE/>
        <w:autoSpaceDN/>
        <w:bidi w:val="0"/>
        <w:spacing w:before="326" w:after="326" w:line="360" w:lineRule="auto"/>
        <w:ind w:left="0" w:leftChars="0" w:right="0" w:rightChars="0" w:firstLine="422"/>
        <w:textAlignment w:val="auto"/>
        <w:rPr>
          <w:rFonts w:asciiTheme="minorEastAsia" w:hAnsiTheme="minorEastAsia" w:eastAsiaTheme="minorEastAsia"/>
          <w:sz w:val="21"/>
          <w:szCs w:val="21"/>
        </w:rPr>
      </w:pPr>
      <w:bookmarkStart w:id="2" w:name="_Toc454441793"/>
      <w:r>
        <w:rPr>
          <w:rFonts w:asciiTheme="minorEastAsia" w:hAnsiTheme="minorEastAsia" w:eastAsiaTheme="minorEastAsia"/>
          <w:sz w:val="21"/>
          <w:szCs w:val="21"/>
        </w:rPr>
        <w:t>（二）人才需求背景分析</w:t>
      </w:r>
      <w:bookmarkEnd w:id="2"/>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随着国家《安全生产法》的颁布，提高我国安全技术管理人才队伍整体素质和业务能力，提升安全技术管理人员学历水平，开展安全技术管理人才素质提升计划，为安全生产提供专业的人才支撑，成为国家中长期人才发展规划的一项重要内容。安全技术与管理专业已成为近年来高校的热门专业，我国高校的安全技术与管理专业正处于高速发展时期，未来数年我国安全技术与管理专业的毕业生将会有大幅度增加，能逐渐满足社会对安全技术管理人员的需求。</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安全专业人才的就业机会在很大程度上依赖于国家安监部门对企业或组织落实《安全生产法》的力度，在国家安监部门的大力支持下，高校的安全技术管理专业将会得到良性发展。高校安全技术管理专业人才的培养方案和模式需要进一步改革和完善，以便适应安全工程师的要求，适应安全人才市场的需要。安全学科自身还需要有很大的发展，办好安全专业还任重道远。国家职能部门未来将会对高校安全生产专业的办学加以扶植、引导和规划，并加大学科建设经费的投入。安全科学技术的社会效益和经济效益十分显著。未来将有一大批安全技术管理专业的高级人才走进社会，他们必将在各行各业中占有一席之地。由于他们毕业于安全专业，拥有丰富的安全知识，在工作中必将更重视安全，安全学科将进一步得到发展，整个社会的安全水平也必将随之提高。</w:t>
      </w:r>
    </w:p>
    <w:p>
      <w:pPr>
        <w:pStyle w:val="2"/>
        <w:pageBreakBefore w:val="0"/>
        <w:widowControl w:val="0"/>
        <w:kinsoku/>
        <w:wordWrap/>
        <w:overflowPunct/>
        <w:topLinePunct w:val="0"/>
        <w:autoSpaceDE/>
        <w:autoSpaceDN/>
        <w:bidi w:val="0"/>
        <w:spacing w:before="326" w:after="326" w:line="360" w:lineRule="auto"/>
        <w:ind w:left="0" w:leftChars="0" w:right="0" w:rightChars="0" w:firstLine="422"/>
        <w:textAlignment w:val="auto"/>
        <w:rPr>
          <w:rFonts w:asciiTheme="minorEastAsia" w:hAnsiTheme="minorEastAsia" w:eastAsiaTheme="minorEastAsia"/>
          <w:sz w:val="21"/>
          <w:szCs w:val="21"/>
        </w:rPr>
      </w:pPr>
      <w:bookmarkStart w:id="3" w:name="_Toc454441794"/>
      <w:r>
        <w:rPr>
          <w:rFonts w:hint="eastAsia" w:asciiTheme="minorEastAsia" w:hAnsiTheme="minorEastAsia" w:eastAsiaTheme="minorEastAsia"/>
          <w:sz w:val="21"/>
          <w:szCs w:val="21"/>
        </w:rPr>
        <w:t>（三</w:t>
      </w:r>
      <w:r>
        <w:rPr>
          <w:rFonts w:asciiTheme="minorEastAsia" w:hAnsiTheme="minorEastAsia" w:eastAsiaTheme="minorEastAsia"/>
          <w:sz w:val="21"/>
          <w:szCs w:val="21"/>
        </w:rPr>
        <w:t>）</w:t>
      </w:r>
      <w:r>
        <w:rPr>
          <w:rFonts w:hint="eastAsia" w:asciiTheme="minorEastAsia" w:hAnsiTheme="minorEastAsia" w:eastAsiaTheme="minorEastAsia"/>
          <w:sz w:val="21"/>
          <w:szCs w:val="21"/>
        </w:rPr>
        <w:t>国内该专业教育的举办情况</w:t>
      </w:r>
      <w:bookmarkEnd w:id="3"/>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从开办此专业的学校来看，重点大学并不多，大约占10%左右，且安全工程、安全管理专业办得很好的高校就更少了，在招生和教学中基本上是以大类的形式组织招生和教学，随着安全工程技术的发展，这类学校在培养人才方面更注重专业深度和未来学科的发展。</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安全技术管理作为一个综合性专业，在专业方面自然会受母系专业的影响，因此在教学内容方面各学校也存在着很大的差别，各学校培养出来的学生的能力和知识结构是不一样的，甚至存在很大的差异。</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安全工程学科自身的属性和发展过程所存在的局限性使其面临诸多挑战。目前我国的物质财富还不是十分丰富，而且人口众多，人们的自护意识和安全文化还不高，许多安全问题及其防患意识在许多人的心目中仍是可有可无的事。国家、社会、个人对安全投入的资金相对还极少。因此，更应该加强安全专业的办学力度。</w:t>
      </w:r>
    </w:p>
    <w:p>
      <w:pPr>
        <w:pStyle w:val="2"/>
        <w:pageBreakBefore w:val="0"/>
        <w:widowControl w:val="0"/>
        <w:kinsoku/>
        <w:wordWrap/>
        <w:overflowPunct/>
        <w:topLinePunct w:val="0"/>
        <w:autoSpaceDE/>
        <w:autoSpaceDN/>
        <w:bidi w:val="0"/>
        <w:spacing w:before="326" w:after="326" w:line="360" w:lineRule="auto"/>
        <w:ind w:left="0" w:leftChars="0" w:right="0" w:rightChars="0" w:firstLine="422"/>
        <w:textAlignment w:val="auto"/>
        <w:rPr>
          <w:rFonts w:asciiTheme="minorEastAsia" w:hAnsiTheme="minorEastAsia" w:eastAsiaTheme="minorEastAsia"/>
          <w:sz w:val="21"/>
          <w:szCs w:val="21"/>
        </w:rPr>
      </w:pPr>
      <w:bookmarkStart w:id="4" w:name="_Toc454441795"/>
      <w:r>
        <w:rPr>
          <w:rFonts w:hint="eastAsia" w:asciiTheme="minorEastAsia" w:hAnsiTheme="minorEastAsia" w:eastAsiaTheme="minorEastAsia"/>
          <w:sz w:val="21"/>
          <w:szCs w:val="21"/>
        </w:rPr>
        <w:t>（四）安全技术与管理专业发展</w:t>
      </w:r>
      <w:r>
        <w:rPr>
          <w:rFonts w:asciiTheme="minorEastAsia" w:hAnsiTheme="minorEastAsia" w:eastAsiaTheme="minorEastAsia"/>
          <w:sz w:val="21"/>
          <w:szCs w:val="21"/>
        </w:rPr>
        <w:t>趋势</w:t>
      </w:r>
      <w:bookmarkEnd w:id="4"/>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2004年，我国开办安全工程本科专业并在教育部备案的高校有68所，其中大多数高校的安全工程专业是新开办的，近4年申办安全工程专业的高校有40所，比2000年以前的总和都多，其增长速度极快。其特点是：</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1．目前我国已有11所高校有安全技术及工程博士学位授予权，有32所高校有硕士学位授予权（不含科研院所），大多数开办安全工程专业的高校为普通院校；</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2．从地区分布来看，较发达的地区开办安全工程专业的高校较多，说明这些地区更需要和更重视安全工程人才；</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3．开办安全工程专业的高等院校的类型很多，有军工、化工、石油、矿业、土木、交通、能源、环境、经济等，证明安全学科是一个涉及面极广的综合交叉科学；</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4．2004年全国安全工程专业本科生招生人数接近3500名。</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由于全国许多高校的安全技术管理专业刚刚开办，在当前的形势下，安全工程专业的毕业生就业形势普遍较好，就业率较高。未来数年我国高校安全技术管理专业毕业生将达到4000名以上的规模。安全技术管理专业人才有巨大的市场需求，即使安全管理专业的毕业生有大幅度增加，也应该是处于供不应求的状况，因为全国300人以上的高危企业数量巨大。</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我国企业或组织对安全技术管理专业人才的需求途径却有多条。我国各行业中从事安全工作的人员大多数来自其他专业，这种趋势还要持续相当长的时间。其原因主要是：</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第一，许多企业或组织的领导还不知道《安全生产法》的许多规定，一些知道有关规定的企业或组织也没有切实落实《安全生产法》，特别是偏远地区的中小型企业。</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第二，由于我国经济、技术总体水平还比较低，人口众多，人们的安全文化素质不高，职业安全卫生法制建设比较薄弱，管理监察体制不够健全，安全死角很多。大多数应该设置安全工程师岗位的企业或组织还没有设置该岗位，甚至许多企业或组织还不知道有安全工程专业，不懂得设置安全工程岗位的必要性。</w:t>
      </w:r>
    </w:p>
    <w:p>
      <w:pPr>
        <w:pStyle w:val="14"/>
        <w:pageBreakBefore w:val="0"/>
        <w:widowControl w:val="0"/>
        <w:kinsoku/>
        <w:wordWrap/>
        <w:overflowPunct/>
        <w:topLinePunct w:val="0"/>
        <w:autoSpaceDE/>
        <w:autoSpaceDN/>
        <w:bidi w:val="0"/>
        <w:spacing w:beforeLines="100" w:afterLines="100" w:line="360" w:lineRule="auto"/>
        <w:ind w:left="0" w:leftChars="0" w:right="0" w:rightChars="0" w:firstLine="482"/>
        <w:textAlignment w:val="auto"/>
        <w:rPr>
          <w:rFonts w:asciiTheme="minorEastAsia" w:hAnsiTheme="minorEastAsia" w:eastAsiaTheme="minorEastAsia"/>
          <w:sz w:val="24"/>
          <w:szCs w:val="24"/>
        </w:rPr>
      </w:pPr>
      <w:bookmarkStart w:id="5" w:name="_Toc454441796"/>
      <w:r>
        <w:rPr>
          <w:rFonts w:asciiTheme="minorEastAsia" w:hAnsiTheme="minorEastAsia" w:eastAsiaTheme="minorEastAsia"/>
          <w:sz w:val="24"/>
          <w:szCs w:val="24"/>
        </w:rPr>
        <w:t>二、开设</w:t>
      </w:r>
      <w:r>
        <w:rPr>
          <w:rFonts w:hint="eastAsia" w:asciiTheme="minorEastAsia" w:hAnsiTheme="minorEastAsia" w:eastAsiaTheme="minorEastAsia"/>
          <w:sz w:val="24"/>
          <w:szCs w:val="24"/>
        </w:rPr>
        <w:t>《安全技术</w:t>
      </w:r>
      <w:r>
        <w:rPr>
          <w:rFonts w:asciiTheme="minorEastAsia" w:hAnsiTheme="minorEastAsia" w:eastAsiaTheme="minorEastAsia"/>
          <w:sz w:val="24"/>
          <w:szCs w:val="24"/>
        </w:rPr>
        <w:t>与管理</w:t>
      </w:r>
      <w:r>
        <w:rPr>
          <w:rFonts w:hint="eastAsia" w:asciiTheme="minorEastAsia" w:hAnsiTheme="minorEastAsia" w:eastAsiaTheme="minorEastAsia"/>
          <w:sz w:val="24"/>
          <w:szCs w:val="24"/>
        </w:rPr>
        <w:t>》</w:t>
      </w:r>
      <w:r>
        <w:rPr>
          <w:rFonts w:asciiTheme="minorEastAsia" w:hAnsiTheme="minorEastAsia" w:eastAsiaTheme="minorEastAsia"/>
          <w:sz w:val="24"/>
          <w:szCs w:val="24"/>
        </w:rPr>
        <w:t>（专科）专业的</w:t>
      </w:r>
      <w:r>
        <w:rPr>
          <w:rFonts w:hint="eastAsia" w:asciiTheme="minorEastAsia" w:hAnsiTheme="minorEastAsia" w:eastAsiaTheme="minorEastAsia"/>
          <w:sz w:val="24"/>
          <w:szCs w:val="24"/>
        </w:rPr>
        <w:t>可行性</w:t>
      </w:r>
      <w:r>
        <w:rPr>
          <w:rFonts w:asciiTheme="minorEastAsia" w:hAnsiTheme="minorEastAsia" w:eastAsiaTheme="minorEastAsia"/>
          <w:sz w:val="24"/>
          <w:szCs w:val="24"/>
        </w:rPr>
        <w:t>分析</w:t>
      </w:r>
      <w:bookmarkEnd w:id="5"/>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当前，国家、社会对企业安全技术管理的要求逐渐提高，各生产企业也对安全生产工作愈加重视，安全技术管理人才需求很大。目前陕西省范围内仅有极少数的本专科院校开设这类专业，每年毕业学生数量也非常少，陕西省的各级政府机关和企业很难招收到安全技术管理类人才。本着填补安全技术管理人才空白，往本地企业输送专业管理人员的初衷，更为了充实、提高企业安管员队伍素质，促进安全生产工作。</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安全技术管理专业技术人员的培养过程对于学员的基础知识要求不高，《安全技术与管理》（专科）专业的课程更加贴近实际的操作和应用，课程设置更适合基础相对薄弱的学生去理解和掌握。</w:t>
      </w:r>
    </w:p>
    <w:p>
      <w:pPr>
        <w:pStyle w:val="2"/>
        <w:pageBreakBefore w:val="0"/>
        <w:widowControl w:val="0"/>
        <w:kinsoku/>
        <w:wordWrap/>
        <w:overflowPunct/>
        <w:topLinePunct w:val="0"/>
        <w:autoSpaceDE/>
        <w:autoSpaceDN/>
        <w:bidi w:val="0"/>
        <w:spacing w:before="326" w:after="326" w:line="360" w:lineRule="auto"/>
        <w:ind w:left="0" w:leftChars="0" w:right="0" w:rightChars="0" w:firstLine="422"/>
        <w:textAlignment w:val="auto"/>
        <w:rPr>
          <w:rFonts w:asciiTheme="minorEastAsia" w:hAnsiTheme="minorEastAsia" w:eastAsiaTheme="minorEastAsia"/>
          <w:sz w:val="21"/>
          <w:szCs w:val="21"/>
        </w:rPr>
      </w:pPr>
      <w:bookmarkStart w:id="6" w:name="_Toc454441797"/>
      <w:r>
        <w:rPr>
          <w:rFonts w:hint="eastAsia" w:asciiTheme="minorEastAsia" w:hAnsiTheme="minorEastAsia" w:eastAsiaTheme="minorEastAsia"/>
          <w:sz w:val="21"/>
          <w:szCs w:val="21"/>
        </w:rPr>
        <w:t>（一）生源保障</w:t>
      </w:r>
      <w:bookmarkEnd w:id="6"/>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统计局数据显示，2016年1-2月，全国固定资产投资同比增长10.2%，交通运输、建筑施工、工矿商贸等企业进入生产经营活动旺季，3月份制造业PMI为50.2%，自去年8月份以来首次回到荣枯线以上。中国气象局发布，我国自3月21日起正式进入汛期，近期多地已出现强降雨，矿山企业透水、尾矿库溃坝、危险化学品生产和储运、公路和铁路沿线洪水泥石流等风险也随之加大。另外，农业机械和渔业船舶自2001年以来未发生特别重大事故；截至2016年3月31日，建筑施工（100个月）、金属非金属矿山（91个月）、民航飞行（67个月）、铁路交通（56个月）、煤矿（36个月）未发生特别重大事故，是这些行业自2001年以来未发生特别重大事故的最长间隔。</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近10年的4月份，煤矿重特大事故占10年重特大事故总量的33.3%；事故起数在12个月中排第9位，死亡人数排第6位，属煤矿事故易发、多发月份。其中：瓦斯事故居第1位，占59.1%，透水事故居第2位，占31.8%（比近10年3月份透水事故占比上升0.8个百分点）。应引起高度重视的是，4月份是煤矿复产复工高峰期，今年以来煤矿已发生4起重大事故，2015年全年发生5起，煤矿重特大事故控制压力较大。</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根据以上统计的数据，西安市缺乏大量的从事安全生产技术、管理、监督、评价等工作的对口人才，为此，国家开放大学西安分部与西安市安全生产监督管理局、西安市消防支队合作，为西安市安监局、消防支队量身定制了《安全技术与管理》（专科）专业，该专业定位于培养全面掌握安全生产标准要求，精通安全生产监督、管理、检查、评价等工作规则及程序，熟悉建筑安全、化工安全、矿山安全、消防安全等各类安全生产法律法规的专门性人才。同时，西安市安监局下发文件予西安市安监局下属的各区县、开发区安全技术监督管理主管部门及各企事业安全技术管理监督管理部门，制定关于开展全市安全技术管理人才素质提升计划的通知，明确了西安市安监局下属的各安全技术监督管理单位对于该专业的迫切需求及培养范围。</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color w:val="000000" w:themeColor="text1"/>
          <w:sz w:val="21"/>
          <w:szCs w:val="21"/>
        </w:rPr>
        <w:drawing>
          <wp:anchor distT="0" distB="0" distL="114300" distR="114300" simplePos="0" relativeHeight="251663360" behindDoc="0" locked="0" layoutInCell="1" allowOverlap="1">
            <wp:simplePos x="0" y="0"/>
            <wp:positionH relativeFrom="margin">
              <wp:posOffset>1099820</wp:posOffset>
            </wp:positionH>
            <wp:positionV relativeFrom="margin">
              <wp:posOffset>1376045</wp:posOffset>
            </wp:positionV>
            <wp:extent cx="3914775" cy="4662170"/>
            <wp:effectExtent l="0" t="0" r="9525" b="508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extLst>
                        <a:ext uri="{28A0092B-C50C-407E-A947-70E740481C1C}">
                          <a14:useLocalDpi xmlns:a14="http://schemas.microsoft.com/office/drawing/2010/main" val="0"/>
                        </a:ext>
                      </a:extLst>
                    </a:blip>
                    <a:srcRect l="7023" t="19478" r="1023" b="4818"/>
                    <a:stretch>
                      <a:fillRect/>
                    </a:stretch>
                  </pic:blipFill>
                  <pic:spPr>
                    <a:xfrm>
                      <a:off x="0" y="0"/>
                      <a:ext cx="3914775" cy="4662170"/>
                    </a:xfrm>
                    <a:prstGeom prst="rect">
                      <a:avLst/>
                    </a:prstGeom>
                    <a:ln>
                      <a:noFill/>
                    </a:ln>
                  </pic:spPr>
                </pic:pic>
              </a:graphicData>
            </a:graphic>
          </wp:anchor>
        </w:drawing>
      </w:r>
    </w:p>
    <w:p>
      <w:pPr>
        <w:adjustRightInd w:val="0"/>
        <w:snapToGrid w:val="0"/>
        <w:ind w:firstLine="0" w:firstLineChars="0"/>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西安市安监局</w:t>
      </w:r>
      <w:r>
        <w:rPr>
          <w:rFonts w:asciiTheme="minorEastAsia" w:hAnsiTheme="minorEastAsia" w:eastAsiaTheme="minorEastAsia"/>
          <w:color w:val="000000" w:themeColor="text1"/>
          <w:sz w:val="21"/>
          <w:szCs w:val="21"/>
        </w:rPr>
        <w:t>文件首页</w:t>
      </w:r>
    </w:p>
    <w:p>
      <w:pPr>
        <w:adjustRightInd w:val="0"/>
        <w:snapToGrid w:val="0"/>
        <w:ind w:firstLine="0" w:firstLineChars="0"/>
        <w:jc w:val="center"/>
        <w:rPr>
          <w:rFonts w:asciiTheme="minorEastAsia" w:hAnsiTheme="minorEastAsia" w:eastAsiaTheme="minorEastAsia"/>
          <w:color w:val="000000" w:themeColor="text1"/>
          <w:sz w:val="21"/>
          <w:szCs w:val="21"/>
        </w:rPr>
      </w:pP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例如，西安市安全生产监督管理局负责工矿商贸作业场所职业卫生的监督检查工作，由于工作人员的职业素质参差不齐，造成工作能力的差异，为此有必要进行安全技术与管理的学习与深造。</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西安市卫生局负责按照国家职业卫生的有关法律法规，拟订全市职业卫生标准，规范职业病的预防、保健、检查和救治，负责职业卫生技术服务机构资质认定和职业卫生评价及化学品毒性鉴定工作。全西安市的卫生人员共有5.11万人，其中，卫生技术人员4.03万人，其他技术人员0.13万人，管理人员0.51万人，工勤人员0.44万人。全西安市的卫生监督人员共542人，从此组数据看出，其一线的工作人员不仅来源复杂，而且数量不多，对工作的执行能力更是千差万别，所以对安全技术与管理的专业需求紧迫。</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西安市安全生产监督管理局要按照职责分工，建立完善协调机制，加强配合，共同做好相关工作。此部门设置党委书记1名、局长1名，党委委员、副局长2名，纪委书记1名，总工程师1名，内设机构为办公室、综合协调处、安全监督管理一处、安全监督管理二处、处、机关党总支、监察室7个处室，30名行政编制，3名工勤编制，共33人。这33人所涉及的行业和单位均比较繁杂，基层的工作人员职业修养及职业技能与当今社会的发展又不能同步，亟需层次较高的安全技术管理类的人员来填充，故此专业的开设能满足他们的工作需要。</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综上所述，面对西安地区对安全技术专业人员的大量需求，真正要实现西安市各项事业稳定发展的目标，就必须要有对口的人才的保障。地方政府积极制定完善人才引进、培养和使用政策，构建与生产系统相适应的技术教育和职业培训体系，做好实用人才转化工作，加强人力资源服务体系建设，实现人才的产销衔接，培养一批具有安全技术与管理的专业技能的人才。</w:t>
      </w:r>
    </w:p>
    <w:p>
      <w:pPr>
        <w:pStyle w:val="2"/>
        <w:spacing w:before="326" w:after="326"/>
        <w:ind w:firstLine="422"/>
        <w:rPr>
          <w:rFonts w:asciiTheme="minorEastAsia" w:hAnsiTheme="minorEastAsia" w:eastAsiaTheme="minorEastAsia"/>
          <w:sz w:val="21"/>
          <w:szCs w:val="21"/>
        </w:rPr>
      </w:pPr>
      <w:bookmarkStart w:id="7" w:name="_Toc454441798"/>
      <w:r>
        <w:rPr>
          <w:rFonts w:hint="eastAsia" w:asciiTheme="minorEastAsia" w:hAnsiTheme="minorEastAsia" w:eastAsiaTheme="minorEastAsia"/>
          <w:sz w:val="21"/>
          <w:szCs w:val="21"/>
        </w:rPr>
        <w:t>（</w:t>
      </w:r>
      <w:r>
        <w:rPr>
          <w:rFonts w:asciiTheme="minorEastAsia" w:hAnsiTheme="minorEastAsia" w:eastAsiaTheme="minorEastAsia"/>
          <w:sz w:val="21"/>
          <w:szCs w:val="21"/>
        </w:rPr>
        <w:t>二）</w:t>
      </w:r>
      <w:r>
        <w:rPr>
          <w:rFonts w:hint="eastAsia" w:asciiTheme="minorEastAsia" w:hAnsiTheme="minorEastAsia" w:eastAsiaTheme="minorEastAsia"/>
          <w:sz w:val="21"/>
          <w:szCs w:val="21"/>
        </w:rPr>
        <w:t>开办</w:t>
      </w:r>
      <w:r>
        <w:rPr>
          <w:rFonts w:asciiTheme="minorEastAsia" w:hAnsiTheme="minorEastAsia" w:eastAsiaTheme="minorEastAsia"/>
          <w:sz w:val="21"/>
          <w:szCs w:val="21"/>
        </w:rPr>
        <w:t>《安全技术与管理》（专科）专业的条件与优势</w:t>
      </w:r>
      <w:bookmarkEnd w:id="7"/>
    </w:p>
    <w:p>
      <w:pPr>
        <w:adjustRightInd w:val="0"/>
        <w:snapToGrid w:val="0"/>
        <w:ind w:firstLine="420"/>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国家开放大学西安分部高度重视安全技术</w:t>
      </w:r>
      <w:r>
        <w:rPr>
          <w:rFonts w:asciiTheme="minorEastAsia" w:hAnsiTheme="minorEastAsia" w:eastAsiaTheme="minorEastAsia"/>
          <w:color w:val="000000" w:themeColor="text1"/>
          <w:sz w:val="21"/>
          <w:szCs w:val="21"/>
        </w:rPr>
        <w:t>与</w:t>
      </w:r>
      <w:r>
        <w:rPr>
          <w:rFonts w:hint="eastAsia" w:asciiTheme="minorEastAsia" w:hAnsiTheme="minorEastAsia" w:eastAsiaTheme="minorEastAsia"/>
          <w:color w:val="000000" w:themeColor="text1"/>
          <w:sz w:val="21"/>
          <w:szCs w:val="21"/>
        </w:rPr>
        <w:t>管理专业建设，组建</w:t>
      </w:r>
      <w:r>
        <w:rPr>
          <w:rFonts w:asciiTheme="minorEastAsia" w:hAnsiTheme="minorEastAsia" w:eastAsiaTheme="minorEastAsia"/>
          <w:color w:val="000000" w:themeColor="text1"/>
          <w:sz w:val="21"/>
          <w:szCs w:val="21"/>
        </w:rPr>
        <w:t>了专业调研小组，多次深入到西安市</w:t>
      </w:r>
      <w:r>
        <w:rPr>
          <w:rFonts w:hint="eastAsia" w:asciiTheme="minorEastAsia" w:hAnsiTheme="minorEastAsia" w:eastAsiaTheme="minorEastAsia"/>
          <w:color w:val="000000" w:themeColor="text1"/>
          <w:sz w:val="21"/>
          <w:szCs w:val="21"/>
        </w:rPr>
        <w:t>各单位</w:t>
      </w:r>
      <w:r>
        <w:rPr>
          <w:rFonts w:asciiTheme="minorEastAsia" w:hAnsiTheme="minorEastAsia" w:eastAsiaTheme="minorEastAsia"/>
          <w:color w:val="000000" w:themeColor="text1"/>
          <w:sz w:val="21"/>
          <w:szCs w:val="21"/>
        </w:rPr>
        <w:t>进行</w:t>
      </w:r>
      <w:r>
        <w:rPr>
          <w:rFonts w:hint="eastAsia" w:asciiTheme="minorEastAsia" w:hAnsiTheme="minorEastAsia" w:eastAsiaTheme="minorEastAsia"/>
          <w:color w:val="000000" w:themeColor="text1"/>
          <w:sz w:val="21"/>
          <w:szCs w:val="21"/>
        </w:rPr>
        <w:t>数据</w:t>
      </w:r>
      <w:r>
        <w:rPr>
          <w:rFonts w:asciiTheme="minorEastAsia" w:hAnsiTheme="minorEastAsia" w:eastAsiaTheme="minorEastAsia"/>
          <w:color w:val="000000" w:themeColor="text1"/>
          <w:sz w:val="21"/>
          <w:szCs w:val="21"/>
        </w:rPr>
        <w:t>统计和结果</w:t>
      </w:r>
      <w:r>
        <w:rPr>
          <w:rFonts w:hint="eastAsia" w:asciiTheme="minorEastAsia" w:hAnsiTheme="minorEastAsia" w:eastAsiaTheme="minorEastAsia"/>
          <w:color w:val="000000" w:themeColor="text1"/>
          <w:sz w:val="21"/>
          <w:szCs w:val="21"/>
        </w:rPr>
        <w:t>分析</w:t>
      </w:r>
      <w:r>
        <w:rPr>
          <w:rFonts w:asciiTheme="minorEastAsia" w:hAnsiTheme="minorEastAsia" w:eastAsiaTheme="minorEastAsia"/>
          <w:color w:val="000000" w:themeColor="text1"/>
          <w:sz w:val="21"/>
          <w:szCs w:val="21"/>
        </w:rPr>
        <w:t>，聘请普通高校的专家作为顾问，进行专业</w:t>
      </w:r>
      <w:r>
        <w:rPr>
          <w:rFonts w:hint="eastAsia" w:asciiTheme="minorEastAsia" w:hAnsiTheme="minorEastAsia" w:eastAsiaTheme="minorEastAsia"/>
          <w:color w:val="000000" w:themeColor="text1"/>
          <w:sz w:val="21"/>
          <w:szCs w:val="21"/>
        </w:rPr>
        <w:t>学科</w:t>
      </w:r>
      <w:r>
        <w:rPr>
          <w:rFonts w:asciiTheme="minorEastAsia" w:hAnsiTheme="minorEastAsia" w:eastAsiaTheme="minorEastAsia"/>
          <w:color w:val="000000" w:themeColor="text1"/>
          <w:sz w:val="21"/>
          <w:szCs w:val="21"/>
        </w:rPr>
        <w:t>的</w:t>
      </w:r>
      <w:r>
        <w:rPr>
          <w:rFonts w:hint="eastAsia" w:asciiTheme="minorEastAsia" w:hAnsiTheme="minorEastAsia" w:eastAsiaTheme="minorEastAsia"/>
          <w:color w:val="000000" w:themeColor="text1"/>
          <w:sz w:val="21"/>
          <w:szCs w:val="21"/>
        </w:rPr>
        <w:t>建设</w:t>
      </w:r>
      <w:r>
        <w:rPr>
          <w:rFonts w:asciiTheme="minorEastAsia" w:hAnsiTheme="minorEastAsia" w:eastAsiaTheme="minorEastAsia"/>
          <w:color w:val="000000" w:themeColor="text1"/>
          <w:sz w:val="21"/>
          <w:szCs w:val="21"/>
        </w:rPr>
        <w:t>工作。在</w:t>
      </w:r>
      <w:r>
        <w:rPr>
          <w:rFonts w:hint="eastAsia" w:asciiTheme="minorEastAsia" w:hAnsiTheme="minorEastAsia" w:eastAsiaTheme="minorEastAsia"/>
          <w:color w:val="000000" w:themeColor="text1"/>
          <w:sz w:val="21"/>
          <w:szCs w:val="21"/>
        </w:rPr>
        <w:t>对</w:t>
      </w:r>
      <w:r>
        <w:rPr>
          <w:rFonts w:asciiTheme="minorEastAsia" w:hAnsiTheme="minorEastAsia" w:eastAsiaTheme="minorEastAsia"/>
          <w:color w:val="000000" w:themeColor="text1"/>
          <w:sz w:val="21"/>
          <w:szCs w:val="21"/>
        </w:rPr>
        <w:t>西安市安全技术人员需求的充分调研的基础上，</w:t>
      </w:r>
      <w:r>
        <w:rPr>
          <w:rFonts w:hint="eastAsia" w:asciiTheme="minorEastAsia" w:hAnsiTheme="minorEastAsia" w:eastAsiaTheme="minorEastAsia"/>
          <w:color w:val="000000" w:themeColor="text1"/>
          <w:sz w:val="21"/>
          <w:szCs w:val="21"/>
        </w:rPr>
        <w:t>成立</w:t>
      </w:r>
      <w:r>
        <w:rPr>
          <w:rFonts w:asciiTheme="minorEastAsia" w:hAnsiTheme="minorEastAsia" w:eastAsiaTheme="minorEastAsia"/>
          <w:color w:val="000000" w:themeColor="text1"/>
          <w:sz w:val="21"/>
          <w:szCs w:val="21"/>
        </w:rPr>
        <w:t>了安全技术与</w:t>
      </w:r>
      <w:r>
        <w:rPr>
          <w:rFonts w:hint="eastAsia" w:asciiTheme="minorEastAsia" w:hAnsiTheme="minorEastAsia" w:eastAsiaTheme="minorEastAsia"/>
          <w:color w:val="000000" w:themeColor="text1"/>
          <w:sz w:val="21"/>
          <w:szCs w:val="21"/>
        </w:rPr>
        <w:t>管理</w:t>
      </w:r>
      <w:r>
        <w:rPr>
          <w:rFonts w:asciiTheme="minorEastAsia" w:hAnsiTheme="minorEastAsia" w:eastAsiaTheme="minorEastAsia"/>
          <w:color w:val="000000" w:themeColor="text1"/>
          <w:sz w:val="21"/>
          <w:szCs w:val="21"/>
        </w:rPr>
        <w:t>专业工作</w:t>
      </w:r>
      <w:r>
        <w:rPr>
          <w:rFonts w:hint="eastAsia" w:asciiTheme="minorEastAsia" w:hAnsiTheme="minorEastAsia" w:eastAsiaTheme="minorEastAsia"/>
          <w:color w:val="000000" w:themeColor="text1"/>
          <w:sz w:val="21"/>
          <w:szCs w:val="21"/>
        </w:rPr>
        <w:t>小组</w:t>
      </w:r>
      <w:r>
        <w:rPr>
          <w:rFonts w:asciiTheme="minorEastAsia" w:hAnsiTheme="minorEastAsia" w:eastAsiaTheme="minorEastAsia"/>
          <w:color w:val="000000" w:themeColor="text1"/>
          <w:sz w:val="21"/>
          <w:szCs w:val="21"/>
        </w:rPr>
        <w:t>和</w:t>
      </w:r>
      <w:r>
        <w:rPr>
          <w:rFonts w:hint="eastAsia" w:asciiTheme="minorEastAsia" w:hAnsiTheme="minorEastAsia" w:eastAsiaTheme="minorEastAsia"/>
          <w:color w:val="000000" w:themeColor="text1"/>
          <w:sz w:val="21"/>
          <w:szCs w:val="21"/>
        </w:rPr>
        <w:t>资源</w:t>
      </w:r>
      <w:r>
        <w:rPr>
          <w:rFonts w:asciiTheme="minorEastAsia" w:hAnsiTheme="minorEastAsia" w:eastAsiaTheme="minorEastAsia"/>
          <w:color w:val="000000" w:themeColor="text1"/>
          <w:sz w:val="21"/>
          <w:szCs w:val="21"/>
        </w:rPr>
        <w:t>建设小组</w:t>
      </w:r>
      <w:r>
        <w:rPr>
          <w:rFonts w:hint="eastAsia" w:asciiTheme="minorEastAsia" w:hAnsiTheme="minorEastAsia" w:eastAsiaTheme="minorEastAsia"/>
          <w:color w:val="000000" w:themeColor="text1"/>
          <w:sz w:val="21"/>
          <w:szCs w:val="21"/>
        </w:rPr>
        <w:t>，</w:t>
      </w:r>
      <w:r>
        <w:rPr>
          <w:rFonts w:asciiTheme="minorEastAsia" w:hAnsiTheme="minorEastAsia" w:eastAsiaTheme="minorEastAsia"/>
          <w:color w:val="000000" w:themeColor="text1"/>
          <w:sz w:val="21"/>
          <w:szCs w:val="21"/>
        </w:rPr>
        <w:t>以顺利推进专业建设工作的开展。</w:t>
      </w:r>
    </w:p>
    <w:p>
      <w:pPr>
        <w:pStyle w:val="10"/>
        <w:numPr>
          <w:ilvl w:val="0"/>
          <w:numId w:val="1"/>
        </w:numPr>
        <w:spacing w:line="360" w:lineRule="auto"/>
        <w:ind w:hanging="496" w:firstLineChars="0"/>
        <w:rPr>
          <w:rFonts w:asciiTheme="minorEastAsia" w:hAnsiTheme="minorEastAsia" w:eastAsiaTheme="minorEastAsia"/>
          <w:b w:val="0"/>
          <w:sz w:val="21"/>
          <w:szCs w:val="21"/>
        </w:rPr>
      </w:pPr>
      <w:bookmarkStart w:id="8" w:name="_Toc454441799"/>
      <w:r>
        <w:rPr>
          <w:rFonts w:hint="eastAsia" w:asciiTheme="minorEastAsia" w:hAnsiTheme="minorEastAsia" w:eastAsiaTheme="minorEastAsia"/>
          <w:sz w:val="21"/>
          <w:szCs w:val="21"/>
        </w:rPr>
        <w:t>工作</w:t>
      </w:r>
      <w:r>
        <w:rPr>
          <w:rFonts w:asciiTheme="minorEastAsia" w:hAnsiTheme="minorEastAsia" w:eastAsiaTheme="minorEastAsia"/>
          <w:sz w:val="21"/>
          <w:szCs w:val="21"/>
        </w:rPr>
        <w:t>小组</w:t>
      </w:r>
      <w:bookmarkEnd w:id="8"/>
    </w:p>
    <w:p>
      <w:pPr>
        <w:adjustRightInd w:val="0"/>
        <w:snapToGrid w:val="0"/>
        <w:ind w:firstLine="420"/>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组长</w:t>
      </w:r>
      <w:r>
        <w:rPr>
          <w:rFonts w:asciiTheme="minorEastAsia" w:hAnsiTheme="minorEastAsia" w:eastAsiaTheme="minorEastAsia"/>
          <w:color w:val="000000" w:themeColor="text1"/>
          <w:sz w:val="21"/>
          <w:szCs w:val="21"/>
        </w:rPr>
        <w:t>：赵丽玲</w:t>
      </w:r>
    </w:p>
    <w:p>
      <w:pPr>
        <w:adjustRightInd w:val="0"/>
        <w:snapToGrid w:val="0"/>
        <w:ind w:firstLine="420"/>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副组长</w:t>
      </w:r>
      <w:r>
        <w:rPr>
          <w:rFonts w:asciiTheme="minorEastAsia" w:hAnsiTheme="minorEastAsia" w:eastAsiaTheme="minorEastAsia"/>
          <w:color w:val="000000" w:themeColor="text1"/>
          <w:sz w:val="21"/>
          <w:szCs w:val="21"/>
        </w:rPr>
        <w:t>：</w:t>
      </w:r>
      <w:r>
        <w:rPr>
          <w:rFonts w:hint="eastAsia" w:asciiTheme="minorEastAsia" w:hAnsiTheme="minorEastAsia" w:eastAsiaTheme="minorEastAsia"/>
          <w:color w:val="000000" w:themeColor="text1"/>
          <w:sz w:val="21"/>
          <w:szCs w:val="21"/>
        </w:rPr>
        <w:t>王丽美</w:t>
      </w:r>
      <w:r>
        <w:rPr>
          <w:rFonts w:asciiTheme="minorEastAsia" w:hAnsiTheme="minorEastAsia" w:eastAsiaTheme="minorEastAsia"/>
          <w:color w:val="000000" w:themeColor="text1"/>
          <w:sz w:val="21"/>
          <w:szCs w:val="21"/>
        </w:rPr>
        <w:t>、杨彩霖</w:t>
      </w:r>
    </w:p>
    <w:p>
      <w:pPr>
        <w:adjustRightInd w:val="0"/>
        <w:snapToGrid w:val="0"/>
        <w:ind w:firstLine="420"/>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组员</w:t>
      </w:r>
      <w:r>
        <w:rPr>
          <w:rFonts w:asciiTheme="minorEastAsia" w:hAnsiTheme="minorEastAsia" w:eastAsiaTheme="minorEastAsia"/>
          <w:color w:val="000000" w:themeColor="text1"/>
          <w:sz w:val="21"/>
          <w:szCs w:val="21"/>
        </w:rPr>
        <w:t>：史永哲、严峥嵘、王青</w:t>
      </w:r>
    </w:p>
    <w:p>
      <w:pPr>
        <w:pStyle w:val="10"/>
        <w:tabs>
          <w:tab w:val="left" w:pos="426"/>
          <w:tab w:val="left" w:pos="851"/>
        </w:tabs>
        <w:spacing w:line="360" w:lineRule="auto"/>
        <w:ind w:firstLine="371" w:firstLineChars="176"/>
        <w:rPr>
          <w:rFonts w:asciiTheme="minorEastAsia" w:hAnsiTheme="minorEastAsia" w:eastAsiaTheme="minorEastAsia"/>
          <w:b w:val="0"/>
          <w:sz w:val="21"/>
          <w:szCs w:val="21"/>
        </w:rPr>
      </w:pPr>
      <w:bookmarkStart w:id="9" w:name="_Toc454441800"/>
      <w:r>
        <w:rPr>
          <w:rFonts w:cs="Times New Roman" w:asciiTheme="minorEastAsia" w:hAnsiTheme="minorEastAsia" w:eastAsiaTheme="minorEastAsia"/>
          <w:sz w:val="21"/>
          <w:szCs w:val="21"/>
        </w:rPr>
        <w:t>2.</w:t>
      </w:r>
      <w:r>
        <w:rPr>
          <w:rFonts w:hint="eastAsia" w:asciiTheme="minorEastAsia" w:hAnsiTheme="minorEastAsia" w:eastAsiaTheme="minorEastAsia"/>
          <w:sz w:val="21"/>
          <w:szCs w:val="21"/>
        </w:rPr>
        <w:t>资源</w:t>
      </w:r>
      <w:r>
        <w:rPr>
          <w:rFonts w:asciiTheme="minorEastAsia" w:hAnsiTheme="minorEastAsia" w:eastAsiaTheme="minorEastAsia"/>
          <w:sz w:val="21"/>
          <w:szCs w:val="21"/>
        </w:rPr>
        <w:t>建设小组</w:t>
      </w:r>
      <w:bookmarkEnd w:id="9"/>
    </w:p>
    <w:p>
      <w:pPr>
        <w:adjustRightInd w:val="0"/>
        <w:snapToGrid w:val="0"/>
        <w:ind w:firstLine="420"/>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组长：</w:t>
      </w:r>
      <w:r>
        <w:rPr>
          <w:rFonts w:asciiTheme="minorEastAsia" w:hAnsiTheme="minorEastAsia" w:eastAsiaTheme="minorEastAsia"/>
          <w:color w:val="000000" w:themeColor="text1"/>
          <w:sz w:val="21"/>
          <w:szCs w:val="21"/>
        </w:rPr>
        <w:t>杨彩霖</w:t>
      </w:r>
    </w:p>
    <w:p>
      <w:pPr>
        <w:adjustRightInd w:val="0"/>
        <w:snapToGrid w:val="0"/>
        <w:ind w:firstLine="420"/>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副组长</w:t>
      </w:r>
      <w:r>
        <w:rPr>
          <w:rFonts w:asciiTheme="minorEastAsia" w:hAnsiTheme="minorEastAsia" w:eastAsiaTheme="minorEastAsia"/>
          <w:color w:val="000000" w:themeColor="text1"/>
          <w:sz w:val="21"/>
          <w:szCs w:val="21"/>
        </w:rPr>
        <w:t>：史永哲</w:t>
      </w:r>
    </w:p>
    <w:p>
      <w:pPr>
        <w:adjustRightInd w:val="0"/>
        <w:snapToGrid w:val="0"/>
        <w:ind w:firstLine="420"/>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组员</w:t>
      </w:r>
      <w:r>
        <w:rPr>
          <w:rFonts w:asciiTheme="minorEastAsia" w:hAnsiTheme="minorEastAsia" w:eastAsiaTheme="minorEastAsia"/>
          <w:color w:val="000000" w:themeColor="text1"/>
          <w:sz w:val="21"/>
          <w:szCs w:val="21"/>
        </w:rPr>
        <w:t>：严峥嵘、王青</w:t>
      </w:r>
      <w:r>
        <w:rPr>
          <w:rFonts w:hint="eastAsia" w:asciiTheme="minorEastAsia" w:hAnsiTheme="minorEastAsia" w:eastAsiaTheme="minorEastAsia"/>
          <w:color w:val="000000" w:themeColor="text1"/>
          <w:sz w:val="21"/>
          <w:szCs w:val="21"/>
        </w:rPr>
        <w:t>、</w:t>
      </w:r>
      <w:r>
        <w:rPr>
          <w:rFonts w:asciiTheme="minorEastAsia" w:hAnsiTheme="minorEastAsia" w:eastAsiaTheme="minorEastAsia"/>
          <w:color w:val="000000" w:themeColor="text1"/>
          <w:sz w:val="21"/>
          <w:szCs w:val="21"/>
        </w:rPr>
        <w:t>西安建筑科技大学、西安科技大学兼职教师</w:t>
      </w:r>
    </w:p>
    <w:p>
      <w:pPr>
        <w:pStyle w:val="10"/>
        <w:spacing w:line="360" w:lineRule="auto"/>
        <w:ind w:firstLine="422"/>
        <w:jc w:val="both"/>
        <w:rPr>
          <w:rFonts w:cs="Times New Roman" w:asciiTheme="minorEastAsia" w:hAnsiTheme="minorEastAsia" w:eastAsiaTheme="minorEastAsia"/>
          <w:sz w:val="21"/>
          <w:szCs w:val="21"/>
        </w:rPr>
      </w:pPr>
      <w:bookmarkStart w:id="10" w:name="_Toc454441801"/>
      <w:r>
        <w:rPr>
          <w:rFonts w:cs="Times New Roman" w:asciiTheme="minorEastAsia" w:hAnsiTheme="minorEastAsia" w:eastAsiaTheme="minorEastAsia"/>
          <w:sz w:val="21"/>
          <w:szCs w:val="21"/>
        </w:rPr>
        <w:t>3. 学科带头人</w:t>
      </w:r>
      <w:bookmarkEnd w:id="10"/>
    </w:p>
    <w:p>
      <w:pPr>
        <w:adjustRightInd w:val="0"/>
        <w:snapToGrid w:val="0"/>
        <w:ind w:firstLine="420"/>
        <w:rPr>
          <w:rFonts w:asciiTheme="minorEastAsia" w:hAnsiTheme="minorEastAsia" w:eastAsiaTheme="minorEastAsia"/>
          <w:color w:val="000000" w:themeColor="text1"/>
          <w:sz w:val="21"/>
          <w:szCs w:val="21"/>
        </w:rPr>
      </w:pPr>
      <w:r>
        <w:rPr>
          <w:rFonts w:asciiTheme="minorEastAsia" w:hAnsiTheme="minorEastAsia" w:eastAsiaTheme="minorEastAsia"/>
          <w:color w:val="000000"/>
          <w:sz w:val="21"/>
          <w:szCs w:val="21"/>
          <w:shd w:val="clear" w:color="auto" w:fill="FFFFFF"/>
        </w:rPr>
        <w:t>林海飞教授，博士，西安科技大学安全工程专业，现为</w:t>
      </w:r>
      <w:r>
        <w:rPr>
          <w:rFonts w:hint="eastAsia" w:asciiTheme="minorEastAsia" w:hAnsiTheme="minorEastAsia" w:eastAsiaTheme="minorEastAsia"/>
          <w:color w:val="000000"/>
          <w:sz w:val="21"/>
          <w:szCs w:val="21"/>
          <w:shd w:val="clear" w:color="auto" w:fill="FFFFFF"/>
        </w:rPr>
        <w:t>西安</w:t>
      </w:r>
      <w:r>
        <w:rPr>
          <w:rFonts w:asciiTheme="minorEastAsia" w:hAnsiTheme="minorEastAsia" w:eastAsiaTheme="minorEastAsia"/>
          <w:color w:val="000000"/>
          <w:sz w:val="21"/>
          <w:szCs w:val="21"/>
          <w:shd w:val="clear" w:color="auto" w:fill="FFFFFF"/>
        </w:rPr>
        <w:t>科技大学安全工程系主任。主持国家自然科学基金、省自然科学基金以及横向项目10余项，发表学术论文30余篇（SCI、EI等收录12篇），出版专著及参编教材12部，获各类专利20余项。获省部级奖6项，厅局级奖8项。曾获陕西省青年科技新星、中国职业安全健康协会青年科技奖。</w:t>
      </w:r>
    </w:p>
    <w:p>
      <w:pPr>
        <w:pStyle w:val="10"/>
        <w:spacing w:line="360" w:lineRule="auto"/>
        <w:ind w:firstLine="422"/>
        <w:jc w:val="both"/>
        <w:rPr>
          <w:rFonts w:asciiTheme="minorEastAsia" w:hAnsiTheme="minorEastAsia" w:eastAsiaTheme="minorEastAsia"/>
          <w:sz w:val="21"/>
          <w:szCs w:val="21"/>
        </w:rPr>
      </w:pPr>
      <w:bookmarkStart w:id="11" w:name="_Toc454441802"/>
      <w:r>
        <w:rPr>
          <w:rFonts w:cs="Times New Roman" w:asciiTheme="minorEastAsia" w:hAnsiTheme="minorEastAsia" w:eastAsiaTheme="minorEastAsia"/>
          <w:sz w:val="21"/>
          <w:szCs w:val="21"/>
        </w:rPr>
        <w:t>4.</w:t>
      </w:r>
      <w:r>
        <w:rPr>
          <w:rFonts w:hint="eastAsia" w:asciiTheme="minorEastAsia" w:hAnsiTheme="minorEastAsia" w:eastAsiaTheme="minorEastAsia"/>
          <w:sz w:val="21"/>
          <w:szCs w:val="21"/>
        </w:rPr>
        <w:t>专家顾问</w:t>
      </w:r>
      <w:bookmarkEnd w:id="11"/>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崔</w:t>
      </w:r>
      <w:r>
        <w:rPr>
          <w:rFonts w:asciiTheme="minorEastAsia" w:hAnsiTheme="minorEastAsia" w:eastAsiaTheme="minorEastAsia"/>
          <w:color w:val="000000"/>
          <w:sz w:val="21"/>
          <w:szCs w:val="21"/>
          <w:shd w:val="clear" w:color="auto" w:fill="FFFFFF"/>
        </w:rPr>
        <w:t>晓</w:t>
      </w:r>
      <w:r>
        <w:rPr>
          <w:rFonts w:hint="eastAsia" w:asciiTheme="minorEastAsia" w:hAnsiTheme="minorEastAsia" w:eastAsiaTheme="minorEastAsia"/>
          <w:color w:val="000000"/>
          <w:sz w:val="21"/>
          <w:szCs w:val="21"/>
          <w:shd w:val="clear" w:color="auto" w:fill="FFFFFF"/>
        </w:rPr>
        <w:t>红：</w:t>
      </w:r>
      <w:r>
        <w:rPr>
          <w:rFonts w:asciiTheme="minorEastAsia" w:hAnsiTheme="minorEastAsia" w:eastAsiaTheme="minorEastAsia"/>
          <w:color w:val="000000"/>
          <w:sz w:val="21"/>
          <w:szCs w:val="21"/>
          <w:shd w:val="clear" w:color="auto" w:fill="FFFFFF"/>
        </w:rPr>
        <w:t>西安建筑科技大学教授</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中共党员，</w:t>
      </w:r>
      <w:r>
        <w:rPr>
          <w:rFonts w:hint="eastAsia" w:asciiTheme="minorEastAsia" w:hAnsiTheme="minorEastAsia" w:eastAsiaTheme="minorEastAsia"/>
          <w:color w:val="000000"/>
          <w:sz w:val="21"/>
          <w:szCs w:val="21"/>
          <w:shd w:val="clear" w:color="auto" w:fill="FFFFFF"/>
        </w:rPr>
        <w:t>研究</w:t>
      </w:r>
      <w:r>
        <w:rPr>
          <w:rFonts w:asciiTheme="minorEastAsia" w:hAnsiTheme="minorEastAsia" w:eastAsiaTheme="minorEastAsia"/>
          <w:color w:val="000000"/>
          <w:sz w:val="21"/>
          <w:szCs w:val="21"/>
          <w:shd w:val="clear" w:color="auto" w:fill="FFFFFF"/>
        </w:rPr>
        <w:t>生导师</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西安建筑科技大学</w:t>
      </w:r>
      <w:r>
        <w:rPr>
          <w:rFonts w:hint="eastAsia" w:asciiTheme="minorEastAsia" w:hAnsiTheme="minorEastAsia" w:eastAsiaTheme="minorEastAsia"/>
          <w:color w:val="000000"/>
          <w:sz w:val="21"/>
          <w:szCs w:val="21"/>
          <w:shd w:val="clear" w:color="auto" w:fill="FFFFFF"/>
        </w:rPr>
        <w:t>劳动</w:t>
      </w:r>
      <w:r>
        <w:rPr>
          <w:rFonts w:asciiTheme="minorEastAsia" w:hAnsiTheme="minorEastAsia" w:eastAsiaTheme="minorEastAsia"/>
          <w:color w:val="000000"/>
          <w:sz w:val="21"/>
          <w:szCs w:val="21"/>
          <w:shd w:val="clear" w:color="auto" w:fill="FFFFFF"/>
        </w:rPr>
        <w:t>安全卫生研究所</w:t>
      </w:r>
      <w:r>
        <w:rPr>
          <w:rFonts w:hint="eastAsia" w:asciiTheme="minorEastAsia" w:hAnsiTheme="minorEastAsia" w:eastAsiaTheme="minorEastAsia"/>
          <w:color w:val="000000"/>
          <w:sz w:val="21"/>
          <w:szCs w:val="21"/>
          <w:shd w:val="clear" w:color="auto" w:fill="FFFFFF"/>
        </w:rPr>
        <w:t>所长</w:t>
      </w:r>
      <w:r>
        <w:rPr>
          <w:rFonts w:asciiTheme="minorEastAsia" w:hAnsiTheme="minorEastAsia" w:eastAsiaTheme="minorEastAsia"/>
          <w:color w:val="000000"/>
          <w:sz w:val="21"/>
          <w:szCs w:val="21"/>
          <w:shd w:val="clear" w:color="auto" w:fill="FFFFFF"/>
        </w:rPr>
        <w:t>，是</w:t>
      </w:r>
      <w:r>
        <w:rPr>
          <w:rFonts w:hint="eastAsia" w:asciiTheme="minorEastAsia" w:hAnsiTheme="minorEastAsia" w:eastAsiaTheme="minorEastAsia"/>
          <w:color w:val="000000"/>
          <w:sz w:val="21"/>
          <w:szCs w:val="21"/>
          <w:shd w:val="clear" w:color="auto" w:fill="FFFFFF"/>
        </w:rPr>
        <w:t>陕西</w:t>
      </w:r>
      <w:r>
        <w:rPr>
          <w:rFonts w:asciiTheme="minorEastAsia" w:hAnsiTheme="minorEastAsia" w:eastAsiaTheme="minorEastAsia"/>
          <w:color w:val="000000"/>
          <w:sz w:val="21"/>
          <w:szCs w:val="21"/>
          <w:shd w:val="clear" w:color="auto" w:fill="FFFFFF"/>
        </w:rPr>
        <w:t>省安全监管局认定的</w:t>
      </w:r>
      <w:r>
        <w:rPr>
          <w:rFonts w:hint="eastAsia" w:asciiTheme="minorEastAsia" w:hAnsiTheme="minorEastAsia" w:eastAsiaTheme="minorEastAsia"/>
          <w:color w:val="000000"/>
          <w:sz w:val="21"/>
          <w:szCs w:val="21"/>
          <w:shd w:val="clear" w:color="auto" w:fill="FFFFFF"/>
        </w:rPr>
        <w:t>第</w:t>
      </w:r>
      <w:r>
        <w:rPr>
          <w:rFonts w:asciiTheme="minorEastAsia" w:hAnsiTheme="minorEastAsia" w:eastAsiaTheme="minorEastAsia"/>
          <w:color w:val="000000"/>
          <w:sz w:val="21"/>
          <w:szCs w:val="21"/>
          <w:shd w:val="clear" w:color="auto" w:fill="FFFFFF"/>
        </w:rPr>
        <w:t>一批</w:t>
      </w:r>
      <w:r>
        <w:rPr>
          <w:rFonts w:hint="eastAsia" w:asciiTheme="minorEastAsia" w:hAnsiTheme="minorEastAsia" w:eastAsiaTheme="minorEastAsia"/>
          <w:color w:val="000000"/>
          <w:sz w:val="21"/>
          <w:szCs w:val="21"/>
          <w:shd w:val="clear" w:color="auto" w:fill="FFFFFF"/>
        </w:rPr>
        <w:t>安全评审和职业卫生</w:t>
      </w:r>
      <w:r>
        <w:rPr>
          <w:rFonts w:asciiTheme="minorEastAsia" w:hAnsiTheme="minorEastAsia" w:eastAsiaTheme="minorEastAsia"/>
          <w:color w:val="000000"/>
          <w:sz w:val="21"/>
          <w:szCs w:val="21"/>
          <w:shd w:val="clear" w:color="auto" w:fill="FFFFFF"/>
        </w:rPr>
        <w:t>专家</w:t>
      </w:r>
      <w:r>
        <w:rPr>
          <w:rFonts w:hint="eastAsia" w:asciiTheme="minorEastAsia" w:hAnsiTheme="minorEastAsia" w:eastAsiaTheme="minorEastAsia"/>
          <w:color w:val="000000"/>
          <w:sz w:val="21"/>
          <w:szCs w:val="21"/>
          <w:shd w:val="clear" w:color="auto" w:fill="FFFFFF"/>
        </w:rPr>
        <w:t>，是国家安全工程师培训教师。</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嵇鹰</w:t>
      </w:r>
      <w:r>
        <w:rPr>
          <w:rFonts w:asciiTheme="minorEastAsia" w:hAnsiTheme="minorEastAsia" w:eastAsiaTheme="minorEastAsia"/>
          <w:color w:val="000000"/>
          <w:sz w:val="21"/>
          <w:szCs w:val="21"/>
          <w:shd w:val="clear" w:color="auto" w:fill="FFFFFF"/>
        </w:rPr>
        <w:t>：西安建筑科技大学教授</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中共党员</w:t>
      </w:r>
      <w:r>
        <w:rPr>
          <w:rFonts w:hint="eastAsia" w:asciiTheme="minorEastAsia" w:hAnsiTheme="minorEastAsia" w:eastAsiaTheme="minorEastAsia"/>
          <w:color w:val="000000"/>
          <w:sz w:val="21"/>
          <w:szCs w:val="21"/>
          <w:shd w:val="clear" w:color="auto" w:fill="FFFFFF"/>
        </w:rPr>
        <w:t>，研究</w:t>
      </w:r>
      <w:r>
        <w:rPr>
          <w:rFonts w:asciiTheme="minorEastAsia" w:hAnsiTheme="minorEastAsia" w:eastAsiaTheme="minorEastAsia"/>
          <w:color w:val="000000"/>
          <w:sz w:val="21"/>
          <w:szCs w:val="21"/>
          <w:shd w:val="clear" w:color="auto" w:fill="FFFFFF"/>
        </w:rPr>
        <w:t>生导师，主要研究方向为材料工程</w:t>
      </w:r>
      <w:r>
        <w:rPr>
          <w:rFonts w:hint="eastAsia" w:asciiTheme="minorEastAsia" w:hAnsiTheme="minorEastAsia" w:eastAsiaTheme="minorEastAsia"/>
          <w:color w:val="000000"/>
          <w:sz w:val="21"/>
          <w:szCs w:val="21"/>
          <w:shd w:val="clear" w:color="auto" w:fill="FFFFFF"/>
        </w:rPr>
        <w:t>安全</w:t>
      </w:r>
      <w:r>
        <w:rPr>
          <w:rFonts w:asciiTheme="minorEastAsia" w:hAnsiTheme="minorEastAsia" w:eastAsiaTheme="minorEastAsia"/>
          <w:color w:val="000000"/>
          <w:sz w:val="21"/>
          <w:szCs w:val="21"/>
          <w:shd w:val="clear" w:color="auto" w:fill="FFFFFF"/>
        </w:rPr>
        <w:t>理论与</w:t>
      </w:r>
      <w:r>
        <w:rPr>
          <w:rFonts w:hint="eastAsia" w:asciiTheme="minorEastAsia" w:hAnsiTheme="minorEastAsia" w:eastAsiaTheme="minorEastAsia"/>
          <w:color w:val="000000"/>
          <w:sz w:val="21"/>
          <w:szCs w:val="21"/>
          <w:shd w:val="clear" w:color="auto" w:fill="FFFFFF"/>
        </w:rPr>
        <w:t>设</w:t>
      </w:r>
      <w:r>
        <w:rPr>
          <w:rFonts w:asciiTheme="minorEastAsia" w:hAnsiTheme="minorEastAsia" w:eastAsiaTheme="minorEastAsia"/>
          <w:color w:val="000000"/>
          <w:sz w:val="21"/>
          <w:szCs w:val="21"/>
          <w:shd w:val="clear" w:color="auto" w:fill="FFFFFF"/>
        </w:rPr>
        <w:t>备</w:t>
      </w:r>
      <w:r>
        <w:rPr>
          <w:rFonts w:hint="eastAsia" w:asciiTheme="minorEastAsia" w:hAnsiTheme="minorEastAsia" w:eastAsiaTheme="minorEastAsia"/>
          <w:color w:val="000000"/>
          <w:sz w:val="21"/>
          <w:szCs w:val="21"/>
          <w:shd w:val="clear" w:color="auto" w:fill="FFFFFF"/>
        </w:rPr>
        <w:t>，2</w:t>
      </w:r>
      <w:r>
        <w:rPr>
          <w:rFonts w:asciiTheme="minorEastAsia" w:hAnsiTheme="minorEastAsia" w:eastAsiaTheme="minorEastAsia"/>
          <w:color w:val="000000"/>
          <w:sz w:val="21"/>
          <w:szCs w:val="21"/>
          <w:shd w:val="clear" w:color="auto" w:fill="FFFFFF"/>
        </w:rPr>
        <w:t>006</w:t>
      </w:r>
      <w:r>
        <w:rPr>
          <w:rFonts w:hint="eastAsia" w:asciiTheme="minorEastAsia" w:hAnsiTheme="minorEastAsia" w:eastAsiaTheme="minorEastAsia"/>
          <w:color w:val="000000"/>
          <w:sz w:val="21"/>
          <w:szCs w:val="21"/>
          <w:shd w:val="clear" w:color="auto" w:fill="FFFFFF"/>
        </w:rPr>
        <w:t>年</w:t>
      </w:r>
      <w:r>
        <w:rPr>
          <w:rFonts w:asciiTheme="minorEastAsia" w:hAnsiTheme="minorEastAsia" w:eastAsiaTheme="minorEastAsia"/>
          <w:color w:val="000000"/>
          <w:sz w:val="21"/>
          <w:szCs w:val="21"/>
          <w:shd w:val="clear" w:color="auto" w:fill="FFFFFF"/>
        </w:rPr>
        <w:t>获陕西省科学技术奖</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是</w:t>
      </w:r>
      <w:r>
        <w:rPr>
          <w:rFonts w:hint="eastAsia" w:asciiTheme="minorEastAsia" w:hAnsiTheme="minorEastAsia" w:eastAsiaTheme="minorEastAsia"/>
          <w:color w:val="000000"/>
          <w:sz w:val="21"/>
          <w:szCs w:val="21"/>
          <w:shd w:val="clear" w:color="auto" w:fill="FFFFFF"/>
        </w:rPr>
        <w:t>陕西</w:t>
      </w:r>
      <w:r>
        <w:rPr>
          <w:rFonts w:asciiTheme="minorEastAsia" w:hAnsiTheme="minorEastAsia" w:eastAsiaTheme="minorEastAsia"/>
          <w:color w:val="000000"/>
          <w:sz w:val="21"/>
          <w:szCs w:val="21"/>
          <w:shd w:val="clear" w:color="auto" w:fill="FFFFFF"/>
        </w:rPr>
        <w:t>省安全监管局认定的</w:t>
      </w:r>
      <w:r>
        <w:rPr>
          <w:rFonts w:hint="eastAsia" w:asciiTheme="minorEastAsia" w:hAnsiTheme="minorEastAsia" w:eastAsiaTheme="minorEastAsia"/>
          <w:color w:val="000000"/>
          <w:sz w:val="21"/>
          <w:szCs w:val="21"/>
          <w:shd w:val="clear" w:color="auto" w:fill="FFFFFF"/>
        </w:rPr>
        <w:t>第</w:t>
      </w:r>
      <w:r>
        <w:rPr>
          <w:rFonts w:asciiTheme="minorEastAsia" w:hAnsiTheme="minorEastAsia" w:eastAsiaTheme="minorEastAsia"/>
          <w:color w:val="000000"/>
          <w:sz w:val="21"/>
          <w:szCs w:val="21"/>
          <w:shd w:val="clear" w:color="auto" w:fill="FFFFFF"/>
        </w:rPr>
        <w:t>一批</w:t>
      </w:r>
      <w:r>
        <w:rPr>
          <w:rFonts w:hint="eastAsia" w:asciiTheme="minorEastAsia" w:hAnsiTheme="minorEastAsia" w:eastAsiaTheme="minorEastAsia"/>
          <w:color w:val="000000"/>
          <w:sz w:val="21"/>
          <w:szCs w:val="21"/>
          <w:shd w:val="clear" w:color="auto" w:fill="FFFFFF"/>
        </w:rPr>
        <w:t>安全评审</w:t>
      </w:r>
      <w:r>
        <w:rPr>
          <w:rFonts w:asciiTheme="minorEastAsia" w:hAnsiTheme="minorEastAsia" w:eastAsiaTheme="minorEastAsia"/>
          <w:color w:val="000000"/>
          <w:sz w:val="21"/>
          <w:szCs w:val="21"/>
          <w:shd w:val="clear" w:color="auto" w:fill="FFFFFF"/>
        </w:rPr>
        <w:t>专家</w:t>
      </w:r>
      <w:r>
        <w:rPr>
          <w:rFonts w:hint="eastAsia" w:asciiTheme="minorEastAsia" w:hAnsiTheme="minorEastAsia" w:eastAsiaTheme="minorEastAsia"/>
          <w:color w:val="000000"/>
          <w:sz w:val="21"/>
          <w:szCs w:val="21"/>
          <w:shd w:val="clear" w:color="auto" w:fill="FFFFFF"/>
        </w:rPr>
        <w:t>。</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赵</w:t>
      </w:r>
      <w:r>
        <w:rPr>
          <w:rFonts w:asciiTheme="minorEastAsia" w:hAnsiTheme="minorEastAsia" w:eastAsiaTheme="minorEastAsia"/>
          <w:color w:val="000000"/>
          <w:sz w:val="21"/>
          <w:szCs w:val="21"/>
          <w:shd w:val="clear" w:color="auto" w:fill="FFFFFF"/>
        </w:rPr>
        <w:t>歆冬：西安建筑科技大学教授</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中共党员</w:t>
      </w:r>
      <w:r>
        <w:rPr>
          <w:rFonts w:hint="eastAsia" w:asciiTheme="minorEastAsia" w:hAnsiTheme="minorEastAsia" w:eastAsiaTheme="minorEastAsia"/>
          <w:color w:val="000000"/>
          <w:sz w:val="21"/>
          <w:szCs w:val="21"/>
          <w:shd w:val="clear" w:color="auto" w:fill="FFFFFF"/>
        </w:rPr>
        <w:t>，研究</w:t>
      </w:r>
      <w:r>
        <w:rPr>
          <w:rFonts w:asciiTheme="minorEastAsia" w:hAnsiTheme="minorEastAsia" w:eastAsiaTheme="minorEastAsia"/>
          <w:color w:val="000000"/>
          <w:sz w:val="21"/>
          <w:szCs w:val="21"/>
          <w:shd w:val="clear" w:color="auto" w:fill="FFFFFF"/>
        </w:rPr>
        <w:t>生导师，主要研究方向</w:t>
      </w:r>
      <w:r>
        <w:rPr>
          <w:rFonts w:hint="eastAsia" w:asciiTheme="minorEastAsia" w:hAnsiTheme="minorEastAsia" w:eastAsiaTheme="minorEastAsia"/>
          <w:color w:val="000000"/>
          <w:sz w:val="21"/>
          <w:szCs w:val="21"/>
          <w:shd w:val="clear" w:color="auto" w:fill="FFFFFF"/>
        </w:rPr>
        <w:t>为</w:t>
      </w:r>
      <w:r>
        <w:rPr>
          <w:rFonts w:asciiTheme="minorEastAsia" w:hAnsiTheme="minorEastAsia" w:eastAsiaTheme="minorEastAsia"/>
          <w:color w:val="000000"/>
          <w:sz w:val="21"/>
          <w:szCs w:val="21"/>
          <w:shd w:val="clear" w:color="auto" w:fill="FFFFFF"/>
        </w:rPr>
        <w:t>建筑安全，在建筑减震隔振方面</w:t>
      </w:r>
      <w:r>
        <w:rPr>
          <w:rFonts w:hint="eastAsia" w:asciiTheme="minorEastAsia" w:hAnsiTheme="minorEastAsia" w:eastAsiaTheme="minorEastAsia"/>
          <w:color w:val="000000"/>
          <w:sz w:val="21"/>
          <w:szCs w:val="21"/>
          <w:shd w:val="clear" w:color="auto" w:fill="FFFFFF"/>
        </w:rPr>
        <w:t>颇</w:t>
      </w:r>
      <w:r>
        <w:rPr>
          <w:rFonts w:asciiTheme="minorEastAsia" w:hAnsiTheme="minorEastAsia" w:eastAsiaTheme="minorEastAsia"/>
          <w:color w:val="000000"/>
          <w:sz w:val="21"/>
          <w:szCs w:val="21"/>
          <w:shd w:val="clear" w:color="auto" w:fill="FFFFFF"/>
        </w:rPr>
        <w:t>有建树</w:t>
      </w:r>
      <w:r>
        <w:rPr>
          <w:rFonts w:hint="eastAsia" w:asciiTheme="minorEastAsia" w:hAnsiTheme="minorEastAsia" w:eastAsiaTheme="minorEastAsia"/>
          <w:color w:val="000000"/>
          <w:sz w:val="21"/>
          <w:szCs w:val="21"/>
          <w:shd w:val="clear" w:color="auto" w:fill="FFFFFF"/>
        </w:rPr>
        <w:t>，并且</w:t>
      </w:r>
      <w:r>
        <w:rPr>
          <w:rFonts w:asciiTheme="minorEastAsia" w:hAnsiTheme="minorEastAsia" w:eastAsiaTheme="minorEastAsia"/>
          <w:color w:val="000000"/>
          <w:sz w:val="21"/>
          <w:szCs w:val="21"/>
          <w:shd w:val="clear" w:color="auto" w:fill="FFFFFF"/>
        </w:rPr>
        <w:t>有美国游学经历</w:t>
      </w:r>
      <w:r>
        <w:rPr>
          <w:rFonts w:hint="eastAsia" w:asciiTheme="minorEastAsia" w:hAnsiTheme="minorEastAsia" w:eastAsiaTheme="minorEastAsia"/>
          <w:color w:val="000000"/>
          <w:sz w:val="21"/>
          <w:szCs w:val="21"/>
          <w:shd w:val="clear" w:color="auto" w:fill="FFFFFF"/>
        </w:rPr>
        <w:t>，负责编制及评审建筑安全专篇及评估报告，并先后编制了多个建筑安全专篇评估报告，并顺利通过了国家或地方安全监察部门的审查</w:t>
      </w:r>
      <w:r>
        <w:rPr>
          <w:rFonts w:asciiTheme="minorEastAsia" w:hAnsiTheme="minorEastAsia" w:eastAsiaTheme="minorEastAsia"/>
          <w:color w:val="000000"/>
          <w:sz w:val="21"/>
          <w:szCs w:val="21"/>
          <w:shd w:val="clear" w:color="auto" w:fill="FFFFFF"/>
        </w:rPr>
        <w:t>。</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为了</w:t>
      </w:r>
      <w:r>
        <w:rPr>
          <w:rFonts w:asciiTheme="minorEastAsia" w:hAnsiTheme="minorEastAsia" w:eastAsiaTheme="minorEastAsia"/>
          <w:color w:val="000000"/>
          <w:sz w:val="21"/>
          <w:szCs w:val="21"/>
          <w:shd w:val="clear" w:color="auto" w:fill="FFFFFF"/>
        </w:rPr>
        <w:t>保障</w:t>
      </w:r>
      <w:r>
        <w:rPr>
          <w:rFonts w:hint="eastAsia" w:asciiTheme="minorEastAsia" w:hAnsiTheme="minorEastAsia" w:eastAsiaTheme="minorEastAsia"/>
          <w:color w:val="000000"/>
          <w:sz w:val="21"/>
          <w:szCs w:val="21"/>
          <w:shd w:val="clear" w:color="auto" w:fill="FFFFFF"/>
        </w:rPr>
        <w:t>《安全</w:t>
      </w:r>
      <w:r>
        <w:rPr>
          <w:rFonts w:asciiTheme="minorEastAsia" w:hAnsiTheme="minorEastAsia" w:eastAsiaTheme="minorEastAsia"/>
          <w:color w:val="000000"/>
          <w:sz w:val="21"/>
          <w:szCs w:val="21"/>
          <w:shd w:val="clear" w:color="auto" w:fill="FFFFFF"/>
        </w:rPr>
        <w:t>技术与</w:t>
      </w:r>
      <w:r>
        <w:rPr>
          <w:rFonts w:hint="eastAsia" w:asciiTheme="minorEastAsia" w:hAnsiTheme="minorEastAsia" w:eastAsiaTheme="minorEastAsia"/>
          <w:color w:val="000000"/>
          <w:sz w:val="21"/>
          <w:szCs w:val="21"/>
          <w:shd w:val="clear" w:color="auto" w:fill="FFFFFF"/>
        </w:rPr>
        <w:t>管理》（</w:t>
      </w:r>
      <w:r>
        <w:rPr>
          <w:rFonts w:asciiTheme="minorEastAsia" w:hAnsiTheme="minorEastAsia" w:eastAsiaTheme="minorEastAsia"/>
          <w:color w:val="000000"/>
          <w:sz w:val="21"/>
          <w:szCs w:val="21"/>
          <w:shd w:val="clear" w:color="auto" w:fill="FFFFFF"/>
        </w:rPr>
        <w:t>专科）专业</w:t>
      </w:r>
      <w:r>
        <w:rPr>
          <w:rFonts w:hint="eastAsia" w:asciiTheme="minorEastAsia" w:hAnsiTheme="minorEastAsia" w:eastAsiaTheme="minorEastAsia"/>
          <w:color w:val="000000"/>
          <w:sz w:val="21"/>
          <w:szCs w:val="21"/>
          <w:shd w:val="clear" w:color="auto" w:fill="FFFFFF"/>
        </w:rPr>
        <w:t>的</w:t>
      </w:r>
      <w:r>
        <w:rPr>
          <w:rFonts w:asciiTheme="minorEastAsia" w:hAnsiTheme="minorEastAsia" w:eastAsiaTheme="minorEastAsia"/>
          <w:color w:val="000000"/>
          <w:sz w:val="21"/>
          <w:szCs w:val="21"/>
          <w:shd w:val="clear" w:color="auto" w:fill="FFFFFF"/>
        </w:rPr>
        <w:t>各项</w:t>
      </w:r>
      <w:r>
        <w:rPr>
          <w:rFonts w:hint="eastAsia" w:asciiTheme="minorEastAsia" w:hAnsiTheme="minorEastAsia" w:eastAsiaTheme="minorEastAsia"/>
          <w:color w:val="000000"/>
          <w:sz w:val="21"/>
          <w:szCs w:val="21"/>
          <w:shd w:val="clear" w:color="auto" w:fill="FFFFFF"/>
        </w:rPr>
        <w:t>工作</w:t>
      </w:r>
      <w:r>
        <w:rPr>
          <w:rFonts w:asciiTheme="minorEastAsia" w:hAnsiTheme="minorEastAsia" w:eastAsiaTheme="minorEastAsia"/>
          <w:color w:val="000000"/>
          <w:sz w:val="21"/>
          <w:szCs w:val="21"/>
          <w:shd w:val="clear" w:color="auto" w:fill="FFFFFF"/>
        </w:rPr>
        <w:t>的顺利开展，特成立了专业</w:t>
      </w:r>
      <w:r>
        <w:rPr>
          <w:rFonts w:hint="eastAsia" w:asciiTheme="minorEastAsia" w:hAnsiTheme="minorEastAsia" w:eastAsiaTheme="minorEastAsia"/>
          <w:color w:val="000000"/>
          <w:sz w:val="21"/>
          <w:szCs w:val="21"/>
          <w:shd w:val="clear" w:color="auto" w:fill="FFFFFF"/>
        </w:rPr>
        <w:t>建设</w:t>
      </w:r>
      <w:r>
        <w:rPr>
          <w:rFonts w:asciiTheme="minorEastAsia" w:hAnsiTheme="minorEastAsia" w:eastAsiaTheme="minorEastAsia"/>
          <w:color w:val="000000"/>
          <w:sz w:val="21"/>
          <w:szCs w:val="21"/>
          <w:shd w:val="clear" w:color="auto" w:fill="FFFFFF"/>
        </w:rPr>
        <w:t>队伍团队</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具体师资情况详见</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 xml:space="preserve">表1 </w:t>
      </w:r>
      <w:r>
        <w:rPr>
          <w:rFonts w:hint="eastAsia" w:asciiTheme="minorEastAsia" w:hAnsiTheme="minorEastAsia" w:eastAsiaTheme="minorEastAsia"/>
          <w:color w:val="000000"/>
          <w:sz w:val="21"/>
          <w:szCs w:val="21"/>
          <w:shd w:val="clear" w:color="auto" w:fill="FFFFFF"/>
        </w:rPr>
        <w:t>《安全</w:t>
      </w:r>
      <w:r>
        <w:rPr>
          <w:rFonts w:asciiTheme="minorEastAsia" w:hAnsiTheme="minorEastAsia" w:eastAsiaTheme="minorEastAsia"/>
          <w:color w:val="000000"/>
          <w:sz w:val="21"/>
          <w:szCs w:val="21"/>
          <w:shd w:val="clear" w:color="auto" w:fill="FFFFFF"/>
        </w:rPr>
        <w:t>技术与</w:t>
      </w:r>
      <w:r>
        <w:rPr>
          <w:rFonts w:hint="eastAsia" w:asciiTheme="minorEastAsia" w:hAnsiTheme="minorEastAsia" w:eastAsiaTheme="minorEastAsia"/>
          <w:color w:val="000000"/>
          <w:sz w:val="21"/>
          <w:szCs w:val="21"/>
          <w:shd w:val="clear" w:color="auto" w:fill="FFFFFF"/>
        </w:rPr>
        <w:t>管理》</w:t>
      </w:r>
      <w:r>
        <w:rPr>
          <w:rFonts w:asciiTheme="minorEastAsia" w:hAnsiTheme="minorEastAsia" w:eastAsiaTheme="minorEastAsia"/>
          <w:color w:val="000000"/>
          <w:sz w:val="21"/>
          <w:szCs w:val="21"/>
          <w:shd w:val="clear" w:color="auto" w:fill="FFFFFF"/>
        </w:rPr>
        <w:t>专业</w:t>
      </w:r>
      <w:r>
        <w:rPr>
          <w:rFonts w:hint="eastAsia" w:asciiTheme="minorEastAsia" w:hAnsiTheme="minorEastAsia" w:eastAsiaTheme="minorEastAsia"/>
          <w:color w:val="000000"/>
          <w:sz w:val="21"/>
          <w:szCs w:val="21"/>
          <w:shd w:val="clear" w:color="auto" w:fill="FFFFFF"/>
        </w:rPr>
        <w:t>资源建设师资队伍基本信息表”</w:t>
      </w:r>
    </w:p>
    <w:p>
      <w:pPr>
        <w:spacing w:beforeLines="50" w:afterLines="50"/>
        <w:ind w:firstLine="0" w:firstLineChars="0"/>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表1 《安全</w:t>
      </w:r>
      <w:r>
        <w:rPr>
          <w:rFonts w:asciiTheme="minorEastAsia" w:hAnsiTheme="minorEastAsia" w:eastAsiaTheme="minorEastAsia"/>
          <w:b/>
          <w:sz w:val="21"/>
          <w:szCs w:val="21"/>
        </w:rPr>
        <w:t>技术与</w:t>
      </w:r>
      <w:r>
        <w:rPr>
          <w:rFonts w:hint="eastAsia" w:asciiTheme="minorEastAsia" w:hAnsiTheme="minorEastAsia" w:eastAsiaTheme="minorEastAsia"/>
          <w:b/>
          <w:sz w:val="21"/>
          <w:szCs w:val="21"/>
        </w:rPr>
        <w:t>管理》</w:t>
      </w:r>
      <w:r>
        <w:rPr>
          <w:rFonts w:asciiTheme="minorEastAsia" w:hAnsiTheme="minorEastAsia" w:eastAsiaTheme="minorEastAsia"/>
          <w:b/>
          <w:sz w:val="21"/>
          <w:szCs w:val="21"/>
        </w:rPr>
        <w:t>专业</w:t>
      </w:r>
      <w:r>
        <w:rPr>
          <w:rFonts w:hint="eastAsia" w:asciiTheme="minorEastAsia" w:hAnsiTheme="minorEastAsia" w:eastAsiaTheme="minorEastAsia"/>
          <w:b/>
          <w:sz w:val="21"/>
          <w:szCs w:val="21"/>
        </w:rPr>
        <w:t>资源建设师资队伍基本信息表</w:t>
      </w:r>
    </w:p>
    <w:tbl>
      <w:tblPr>
        <w:tblStyle w:val="16"/>
        <w:tblW w:w="10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998"/>
        <w:gridCol w:w="708"/>
        <w:gridCol w:w="993"/>
        <w:gridCol w:w="1560"/>
        <w:gridCol w:w="1269"/>
        <w:gridCol w:w="1707"/>
        <w:gridCol w:w="1275"/>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shd w:val="clear" w:color="000000" w:fill="auto"/>
            <w:vAlign w:val="center"/>
          </w:tcPr>
          <w:p>
            <w:pPr>
              <w:widowControl/>
              <w:ind w:firstLine="0" w:firstLineChars="0"/>
              <w:jc w:val="center"/>
              <w:rPr>
                <w:rFonts w:cs="宋体" w:asciiTheme="minorEastAsia" w:hAnsiTheme="minorEastAsia" w:eastAsiaTheme="minorEastAsia"/>
                <w:b/>
                <w:kern w:val="0"/>
                <w:sz w:val="21"/>
                <w:szCs w:val="21"/>
              </w:rPr>
            </w:pPr>
            <w:r>
              <w:rPr>
                <w:rFonts w:hint="eastAsia" w:cs="宋体" w:asciiTheme="minorEastAsia" w:hAnsiTheme="minorEastAsia" w:eastAsiaTheme="minorEastAsia"/>
                <w:b/>
                <w:kern w:val="0"/>
                <w:sz w:val="21"/>
                <w:szCs w:val="21"/>
              </w:rPr>
              <w:t>序号</w:t>
            </w:r>
          </w:p>
        </w:tc>
        <w:tc>
          <w:tcPr>
            <w:tcW w:w="998" w:type="dxa"/>
            <w:shd w:val="clear" w:color="000000" w:fill="auto"/>
            <w:vAlign w:val="center"/>
          </w:tcPr>
          <w:p>
            <w:pPr>
              <w:widowControl/>
              <w:ind w:firstLine="0" w:firstLineChars="0"/>
              <w:jc w:val="center"/>
              <w:rPr>
                <w:rFonts w:cs="宋体" w:asciiTheme="minorEastAsia" w:hAnsiTheme="minorEastAsia" w:eastAsiaTheme="minorEastAsia"/>
                <w:b/>
                <w:kern w:val="0"/>
                <w:sz w:val="21"/>
                <w:szCs w:val="21"/>
              </w:rPr>
            </w:pPr>
            <w:r>
              <w:rPr>
                <w:rFonts w:hint="eastAsia" w:cs="宋体" w:asciiTheme="minorEastAsia" w:hAnsiTheme="minorEastAsia" w:eastAsiaTheme="minorEastAsia"/>
                <w:b/>
                <w:kern w:val="0"/>
                <w:sz w:val="21"/>
                <w:szCs w:val="21"/>
              </w:rPr>
              <w:t>姓名</w:t>
            </w:r>
          </w:p>
        </w:tc>
        <w:tc>
          <w:tcPr>
            <w:tcW w:w="708" w:type="dxa"/>
            <w:shd w:val="clear" w:color="000000" w:fill="auto"/>
            <w:vAlign w:val="center"/>
          </w:tcPr>
          <w:p>
            <w:pPr>
              <w:widowControl/>
              <w:ind w:firstLine="0" w:firstLineChars="0"/>
              <w:jc w:val="center"/>
              <w:rPr>
                <w:rFonts w:cs="宋体" w:asciiTheme="minorEastAsia" w:hAnsiTheme="minorEastAsia" w:eastAsiaTheme="minorEastAsia"/>
                <w:b/>
                <w:kern w:val="0"/>
                <w:sz w:val="21"/>
                <w:szCs w:val="21"/>
              </w:rPr>
            </w:pPr>
            <w:r>
              <w:rPr>
                <w:rFonts w:hint="eastAsia" w:cs="宋体" w:asciiTheme="minorEastAsia" w:hAnsiTheme="minorEastAsia" w:eastAsiaTheme="minorEastAsia"/>
                <w:b/>
                <w:kern w:val="0"/>
                <w:sz w:val="21"/>
                <w:szCs w:val="21"/>
              </w:rPr>
              <w:t>性别</w:t>
            </w:r>
          </w:p>
        </w:tc>
        <w:tc>
          <w:tcPr>
            <w:tcW w:w="993" w:type="dxa"/>
            <w:shd w:val="clear" w:color="000000" w:fill="auto"/>
            <w:vAlign w:val="center"/>
          </w:tcPr>
          <w:p>
            <w:pPr>
              <w:widowControl/>
              <w:ind w:firstLine="0" w:firstLineChars="0"/>
              <w:jc w:val="center"/>
              <w:rPr>
                <w:rFonts w:cs="宋体" w:asciiTheme="minorEastAsia" w:hAnsiTheme="minorEastAsia" w:eastAsiaTheme="minorEastAsia"/>
                <w:b/>
                <w:kern w:val="0"/>
                <w:sz w:val="21"/>
                <w:szCs w:val="21"/>
              </w:rPr>
            </w:pPr>
            <w:r>
              <w:rPr>
                <w:rFonts w:hint="eastAsia" w:cs="宋体" w:asciiTheme="minorEastAsia" w:hAnsiTheme="minorEastAsia" w:eastAsiaTheme="minorEastAsia"/>
                <w:b/>
                <w:kern w:val="0"/>
                <w:sz w:val="21"/>
                <w:szCs w:val="21"/>
              </w:rPr>
              <w:t>职称</w:t>
            </w:r>
          </w:p>
        </w:tc>
        <w:tc>
          <w:tcPr>
            <w:tcW w:w="1560" w:type="dxa"/>
            <w:shd w:val="clear" w:color="000000" w:fill="auto"/>
            <w:vAlign w:val="center"/>
          </w:tcPr>
          <w:p>
            <w:pPr>
              <w:widowControl/>
              <w:ind w:firstLine="0" w:firstLineChars="0"/>
              <w:jc w:val="center"/>
              <w:rPr>
                <w:rFonts w:cs="宋体" w:asciiTheme="minorEastAsia" w:hAnsiTheme="minorEastAsia" w:eastAsiaTheme="minorEastAsia"/>
                <w:b/>
                <w:kern w:val="0"/>
                <w:sz w:val="21"/>
                <w:szCs w:val="21"/>
              </w:rPr>
            </w:pPr>
            <w:r>
              <w:rPr>
                <w:rFonts w:hint="eastAsia" w:cs="宋体" w:asciiTheme="minorEastAsia" w:hAnsiTheme="minorEastAsia" w:eastAsiaTheme="minorEastAsia"/>
                <w:b/>
                <w:kern w:val="0"/>
                <w:sz w:val="21"/>
                <w:szCs w:val="21"/>
              </w:rPr>
              <w:t>学术专长</w:t>
            </w:r>
          </w:p>
        </w:tc>
        <w:tc>
          <w:tcPr>
            <w:tcW w:w="1269" w:type="dxa"/>
            <w:shd w:val="clear" w:color="000000" w:fill="auto"/>
            <w:vAlign w:val="center"/>
          </w:tcPr>
          <w:p>
            <w:pPr>
              <w:widowControl/>
              <w:ind w:firstLine="0" w:firstLineChars="0"/>
              <w:jc w:val="center"/>
              <w:rPr>
                <w:rFonts w:cs="宋体" w:asciiTheme="minorEastAsia" w:hAnsiTheme="minorEastAsia" w:eastAsiaTheme="minorEastAsia"/>
                <w:b/>
                <w:kern w:val="0"/>
                <w:sz w:val="21"/>
                <w:szCs w:val="21"/>
              </w:rPr>
            </w:pPr>
            <w:r>
              <w:rPr>
                <w:rFonts w:hint="eastAsia" w:cs="宋体" w:asciiTheme="minorEastAsia" w:hAnsiTheme="minorEastAsia" w:eastAsiaTheme="minorEastAsia"/>
                <w:b/>
                <w:kern w:val="0"/>
                <w:sz w:val="21"/>
                <w:szCs w:val="21"/>
              </w:rPr>
              <w:t>学历学位</w:t>
            </w:r>
          </w:p>
        </w:tc>
        <w:tc>
          <w:tcPr>
            <w:tcW w:w="1707" w:type="dxa"/>
            <w:shd w:val="clear" w:color="000000" w:fill="auto"/>
            <w:vAlign w:val="center"/>
          </w:tcPr>
          <w:p>
            <w:pPr>
              <w:widowControl/>
              <w:ind w:firstLine="0" w:firstLineChars="0"/>
              <w:jc w:val="center"/>
              <w:rPr>
                <w:rFonts w:cs="宋体" w:asciiTheme="minorEastAsia" w:hAnsiTheme="minorEastAsia" w:eastAsiaTheme="minorEastAsia"/>
                <w:b/>
                <w:kern w:val="0"/>
                <w:sz w:val="21"/>
                <w:szCs w:val="21"/>
              </w:rPr>
            </w:pPr>
            <w:r>
              <w:rPr>
                <w:rFonts w:hint="eastAsia" w:cs="宋体" w:asciiTheme="minorEastAsia" w:hAnsiTheme="minorEastAsia" w:eastAsiaTheme="minorEastAsia"/>
                <w:b/>
                <w:kern w:val="0"/>
                <w:sz w:val="21"/>
                <w:szCs w:val="21"/>
              </w:rPr>
              <w:t>毕业院校</w:t>
            </w:r>
          </w:p>
        </w:tc>
        <w:tc>
          <w:tcPr>
            <w:tcW w:w="1275" w:type="dxa"/>
            <w:shd w:val="clear" w:color="000000" w:fill="auto"/>
            <w:vAlign w:val="center"/>
          </w:tcPr>
          <w:p>
            <w:pPr>
              <w:widowControl/>
              <w:ind w:firstLine="0" w:firstLineChars="0"/>
              <w:jc w:val="center"/>
              <w:rPr>
                <w:rFonts w:cs="宋体" w:asciiTheme="minorEastAsia" w:hAnsiTheme="minorEastAsia" w:eastAsiaTheme="minorEastAsia"/>
                <w:b/>
                <w:kern w:val="0"/>
                <w:sz w:val="21"/>
                <w:szCs w:val="21"/>
              </w:rPr>
            </w:pPr>
            <w:r>
              <w:rPr>
                <w:rFonts w:hint="eastAsia" w:cs="宋体" w:asciiTheme="minorEastAsia" w:hAnsiTheme="minorEastAsia" w:eastAsiaTheme="minorEastAsia"/>
                <w:b/>
                <w:kern w:val="0"/>
                <w:sz w:val="21"/>
                <w:szCs w:val="21"/>
              </w:rPr>
              <w:t>专业</w:t>
            </w:r>
          </w:p>
        </w:tc>
        <w:tc>
          <w:tcPr>
            <w:tcW w:w="1554" w:type="dxa"/>
            <w:shd w:val="clear" w:color="000000" w:fill="auto"/>
            <w:vAlign w:val="center"/>
          </w:tcPr>
          <w:p>
            <w:pPr>
              <w:widowControl/>
              <w:ind w:firstLine="0" w:firstLineChars="0"/>
              <w:jc w:val="center"/>
              <w:rPr>
                <w:rFonts w:cs="宋体" w:asciiTheme="minorEastAsia" w:hAnsiTheme="minorEastAsia" w:eastAsiaTheme="minorEastAsia"/>
                <w:b/>
                <w:kern w:val="0"/>
                <w:sz w:val="21"/>
                <w:szCs w:val="21"/>
              </w:rPr>
            </w:pPr>
            <w:r>
              <w:rPr>
                <w:rFonts w:hint="eastAsia" w:cs="宋体" w:asciiTheme="minorEastAsia" w:hAnsiTheme="minorEastAsia" w:eastAsiaTheme="minorEastAsia"/>
                <w:b/>
                <w:kern w:val="0"/>
                <w:sz w:val="21"/>
                <w:szCs w:val="21"/>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widowControl/>
              <w:numPr>
                <w:ilvl w:val="0"/>
                <w:numId w:val="2"/>
              </w:numPr>
              <w:ind w:firstLineChars="0"/>
              <w:jc w:val="center"/>
              <w:rPr>
                <w:rFonts w:asciiTheme="minorEastAsia" w:hAnsiTheme="minorEastAsia" w:eastAsiaTheme="minorEastAsia"/>
                <w:sz w:val="21"/>
                <w:szCs w:val="21"/>
              </w:rPr>
            </w:pPr>
          </w:p>
        </w:tc>
        <w:tc>
          <w:tcPr>
            <w:tcW w:w="998"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sz w:val="21"/>
                <w:szCs w:val="21"/>
              </w:rPr>
              <w:t>林海飞</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男</w:t>
            </w:r>
          </w:p>
        </w:tc>
        <w:tc>
          <w:tcPr>
            <w:tcW w:w="993"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教授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color w:val="333333"/>
                <w:sz w:val="21"/>
                <w:szCs w:val="21"/>
                <w:shd w:val="clear" w:color="auto" w:fill="FFFFFF"/>
              </w:rPr>
              <w:t>安全工程</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博士</w:t>
            </w:r>
          </w:p>
        </w:tc>
        <w:tc>
          <w:tcPr>
            <w:tcW w:w="1707"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西安交通大学</w:t>
            </w:r>
          </w:p>
        </w:tc>
        <w:tc>
          <w:tcPr>
            <w:tcW w:w="1275"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sz w:val="21"/>
                <w:szCs w:val="21"/>
              </w:rPr>
              <w:t>安全技术及工程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朱军强</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男</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教授</w:t>
            </w:r>
          </w:p>
        </w:tc>
        <w:tc>
          <w:tcPr>
            <w:tcW w:w="1560"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建筑结构安全工程</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博士</w:t>
            </w:r>
          </w:p>
        </w:tc>
        <w:tc>
          <w:tcPr>
            <w:tcW w:w="1707"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西安建筑科技大学</w:t>
            </w:r>
          </w:p>
        </w:tc>
        <w:tc>
          <w:tcPr>
            <w:tcW w:w="1275"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结构工程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西安建筑科技大学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赵祥</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男</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副教授</w:t>
            </w:r>
          </w:p>
        </w:tc>
        <w:tc>
          <w:tcPr>
            <w:tcW w:w="1560"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建筑结构安全工程</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博士</w:t>
            </w:r>
          </w:p>
        </w:tc>
        <w:tc>
          <w:tcPr>
            <w:tcW w:w="1707"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西安建筑科技大学</w:t>
            </w:r>
          </w:p>
        </w:tc>
        <w:tc>
          <w:tcPr>
            <w:tcW w:w="1275"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结构工程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西安建筑科技大学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马乐为</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男</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教授</w:t>
            </w:r>
          </w:p>
        </w:tc>
        <w:tc>
          <w:tcPr>
            <w:tcW w:w="1560"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建筑结构安全工程</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博士</w:t>
            </w:r>
          </w:p>
        </w:tc>
        <w:tc>
          <w:tcPr>
            <w:tcW w:w="1707"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西安建筑科技大学</w:t>
            </w:r>
          </w:p>
        </w:tc>
        <w:tc>
          <w:tcPr>
            <w:tcW w:w="1275"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结构工程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西安建筑科技大学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刘健康</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男</w:t>
            </w:r>
          </w:p>
        </w:tc>
        <w:tc>
          <w:tcPr>
            <w:tcW w:w="993"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高级工程师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防灾减灾安全工程</w:t>
            </w:r>
          </w:p>
        </w:tc>
        <w:tc>
          <w:tcPr>
            <w:tcW w:w="1269"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硕士</w:t>
            </w:r>
          </w:p>
        </w:tc>
        <w:tc>
          <w:tcPr>
            <w:tcW w:w="1707"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西安建筑科技大学</w:t>
            </w:r>
          </w:p>
        </w:tc>
        <w:tc>
          <w:tcPr>
            <w:tcW w:w="1275"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防灾减灾及防护工程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中煤西安设计工程有限责任公司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张振宇</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男</w:t>
            </w:r>
          </w:p>
        </w:tc>
        <w:tc>
          <w:tcPr>
            <w:tcW w:w="993"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高级工程师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防灾减灾安全工程</w:t>
            </w:r>
          </w:p>
        </w:tc>
        <w:tc>
          <w:tcPr>
            <w:tcW w:w="1269"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硕士</w:t>
            </w:r>
          </w:p>
        </w:tc>
        <w:tc>
          <w:tcPr>
            <w:tcW w:w="1707"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西安建筑科技大学</w:t>
            </w:r>
          </w:p>
        </w:tc>
        <w:tc>
          <w:tcPr>
            <w:tcW w:w="1275"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防灾减灾及防护工程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中煤西安设计工程有限责任公司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吕振</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男</w:t>
            </w:r>
          </w:p>
        </w:tc>
        <w:tc>
          <w:tcPr>
            <w:tcW w:w="993"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注册安全工程师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安全工程</w:t>
            </w:r>
          </w:p>
        </w:tc>
        <w:tc>
          <w:tcPr>
            <w:tcW w:w="1269"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硕士</w:t>
            </w:r>
          </w:p>
        </w:tc>
        <w:tc>
          <w:tcPr>
            <w:tcW w:w="1707"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西安建筑科技大学</w:t>
            </w:r>
          </w:p>
        </w:tc>
        <w:tc>
          <w:tcPr>
            <w:tcW w:w="1275"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防灾减灾及防护工程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中煤西安设计工程有限责任公司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杨彩霖</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女</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副教授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计算机应用技术</w:t>
            </w:r>
          </w:p>
        </w:tc>
        <w:tc>
          <w:tcPr>
            <w:tcW w:w="1269"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硕士</w:t>
            </w:r>
          </w:p>
        </w:tc>
        <w:tc>
          <w:tcPr>
            <w:tcW w:w="1707"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西安科技大学</w:t>
            </w:r>
          </w:p>
        </w:tc>
        <w:tc>
          <w:tcPr>
            <w:tcW w:w="1275"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计算机应用</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西安广播电视大学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严峥嵘</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女</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讲师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土木工程</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硕士</w:t>
            </w:r>
          </w:p>
        </w:tc>
        <w:tc>
          <w:tcPr>
            <w:tcW w:w="1707"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西安建筑科技大学</w:t>
            </w:r>
          </w:p>
        </w:tc>
        <w:tc>
          <w:tcPr>
            <w:tcW w:w="1275"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土木工程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西安广播电视大学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侯新昌</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男</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副教授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数学</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学士</w:t>
            </w:r>
          </w:p>
        </w:tc>
        <w:tc>
          <w:tcPr>
            <w:tcW w:w="1707"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sz w:val="21"/>
                <w:szCs w:val="21"/>
              </w:rPr>
              <w:t>西北大学</w:t>
            </w:r>
          </w:p>
        </w:tc>
        <w:tc>
          <w:tcPr>
            <w:tcW w:w="1275"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数学</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西安广播电视大学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王青</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女</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讲师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土木工程</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硕士</w:t>
            </w:r>
          </w:p>
        </w:tc>
        <w:tc>
          <w:tcPr>
            <w:tcW w:w="1707"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西安建筑科技大学</w:t>
            </w:r>
          </w:p>
        </w:tc>
        <w:tc>
          <w:tcPr>
            <w:tcW w:w="1275"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土木工程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西安广播电视大学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曹婷帅</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女</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讲师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土木工程</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硕士</w:t>
            </w:r>
          </w:p>
        </w:tc>
        <w:tc>
          <w:tcPr>
            <w:tcW w:w="1707"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西安建筑科技大学</w:t>
            </w:r>
          </w:p>
        </w:tc>
        <w:tc>
          <w:tcPr>
            <w:tcW w:w="1275"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土木工程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西安广播电视大学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高迎社</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男</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讲师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土木工程</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硕士</w:t>
            </w:r>
          </w:p>
        </w:tc>
        <w:tc>
          <w:tcPr>
            <w:tcW w:w="1707"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西安建筑科技大学</w:t>
            </w:r>
          </w:p>
        </w:tc>
        <w:tc>
          <w:tcPr>
            <w:tcW w:w="1275"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土木工程</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西安科技大学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Align w:val="center"/>
          </w:tcPr>
          <w:p>
            <w:pPr>
              <w:numPr>
                <w:ilvl w:val="0"/>
                <w:numId w:val="2"/>
              </w:numPr>
              <w:ind w:firstLineChars="0"/>
              <w:jc w:val="center"/>
              <w:rPr>
                <w:rFonts w:asciiTheme="minorEastAsia" w:hAnsiTheme="minorEastAsia" w:eastAsiaTheme="minorEastAsia"/>
                <w:sz w:val="21"/>
                <w:szCs w:val="21"/>
              </w:rPr>
            </w:pPr>
          </w:p>
        </w:tc>
        <w:tc>
          <w:tcPr>
            <w:tcW w:w="99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韩喜春</w:t>
            </w:r>
          </w:p>
        </w:tc>
        <w:tc>
          <w:tcPr>
            <w:tcW w:w="708"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女</w:t>
            </w:r>
          </w:p>
        </w:tc>
        <w:tc>
          <w:tcPr>
            <w:tcW w:w="993"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讲师</w:t>
            </w:r>
          </w:p>
        </w:tc>
        <w:tc>
          <w:tcPr>
            <w:tcW w:w="1560"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英语</w:t>
            </w:r>
          </w:p>
        </w:tc>
        <w:tc>
          <w:tcPr>
            <w:tcW w:w="1269"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kern w:val="0"/>
                <w:sz w:val="21"/>
                <w:szCs w:val="21"/>
              </w:rPr>
              <w:t>硕士</w:t>
            </w:r>
          </w:p>
        </w:tc>
        <w:tc>
          <w:tcPr>
            <w:tcW w:w="1707" w:type="dxa"/>
            <w:vAlign w:val="center"/>
          </w:tcPr>
          <w:p>
            <w:pPr>
              <w:widowControl/>
              <w:ind w:firstLine="0" w:firstLineChars="0"/>
              <w:jc w:val="center"/>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西北师范大学</w:t>
            </w:r>
          </w:p>
        </w:tc>
        <w:tc>
          <w:tcPr>
            <w:tcW w:w="1275" w:type="dxa"/>
            <w:vAlign w:val="center"/>
          </w:tcPr>
          <w:p>
            <w:pPr>
              <w:widowControl/>
              <w:ind w:firstLine="0" w:firstLineChars="0"/>
              <w:jc w:val="center"/>
              <w:rPr>
                <w:rFonts w:asciiTheme="minorEastAsia" w:hAnsiTheme="minorEastAsia" w:eastAsiaTheme="minorEastAsia"/>
                <w:kern w:val="0"/>
                <w:sz w:val="21"/>
                <w:szCs w:val="21"/>
              </w:rPr>
            </w:pPr>
            <w:r>
              <w:rPr>
                <w:rFonts w:asciiTheme="minorEastAsia" w:hAnsiTheme="minorEastAsia" w:eastAsiaTheme="minorEastAsia"/>
                <w:kern w:val="0"/>
                <w:sz w:val="21"/>
                <w:szCs w:val="21"/>
              </w:rPr>
              <w:t>英语</w:t>
            </w:r>
          </w:p>
        </w:tc>
        <w:tc>
          <w:tcPr>
            <w:tcW w:w="1554" w:type="dxa"/>
            <w:vAlign w:val="center"/>
          </w:tcPr>
          <w:p>
            <w:pPr>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西安广播电视大学</w:t>
            </w:r>
          </w:p>
        </w:tc>
      </w:tr>
    </w:tbl>
    <w:p>
      <w:pPr>
        <w:pStyle w:val="10"/>
        <w:spacing w:line="360" w:lineRule="auto"/>
        <w:ind w:firstLine="422"/>
        <w:rPr>
          <w:rFonts w:asciiTheme="minorEastAsia" w:hAnsiTheme="minorEastAsia" w:eastAsiaTheme="minorEastAsia"/>
          <w:b w:val="0"/>
          <w:sz w:val="21"/>
          <w:szCs w:val="21"/>
        </w:rPr>
      </w:pPr>
      <w:bookmarkStart w:id="12" w:name="_Toc454441803"/>
      <w:r>
        <w:rPr>
          <w:rFonts w:cs="Times New Roman" w:asciiTheme="minorEastAsia" w:hAnsiTheme="minorEastAsia" w:eastAsiaTheme="minorEastAsia"/>
          <w:sz w:val="21"/>
          <w:szCs w:val="21"/>
        </w:rPr>
        <w:t>5.</w:t>
      </w:r>
      <w:r>
        <w:rPr>
          <w:rFonts w:hint="eastAsia" w:asciiTheme="minorEastAsia" w:hAnsiTheme="minorEastAsia" w:eastAsiaTheme="minorEastAsia"/>
          <w:sz w:val="21"/>
          <w:szCs w:val="21"/>
        </w:rPr>
        <w:t>办学</w:t>
      </w:r>
      <w:r>
        <w:rPr>
          <w:rFonts w:asciiTheme="minorEastAsia" w:hAnsiTheme="minorEastAsia" w:eastAsiaTheme="minorEastAsia"/>
          <w:sz w:val="21"/>
          <w:szCs w:val="21"/>
        </w:rPr>
        <w:t>优势</w:t>
      </w:r>
      <w:bookmarkEnd w:id="12"/>
    </w:p>
    <w:p>
      <w:pPr>
        <w:adjustRightInd w:val="0"/>
        <w:snapToGrid w:val="0"/>
        <w:ind w:firstLine="422"/>
        <w:rPr>
          <w:rFonts w:cs="Arial" w:asciiTheme="minorEastAsia" w:hAnsiTheme="minorEastAsia" w:eastAsiaTheme="minorEastAsia"/>
          <w:b/>
          <w:color w:val="000000" w:themeColor="text1"/>
          <w:sz w:val="21"/>
          <w:szCs w:val="21"/>
        </w:rPr>
      </w:pPr>
      <w:r>
        <w:rPr>
          <w:rFonts w:cs="Arial" w:asciiTheme="minorEastAsia" w:hAnsiTheme="minorEastAsia" w:eastAsiaTheme="minorEastAsia"/>
          <w:b/>
          <w:color w:val="000000" w:themeColor="text1"/>
          <w:sz w:val="21"/>
          <w:szCs w:val="21"/>
        </w:rPr>
        <w:t>（</w:t>
      </w:r>
      <w:r>
        <w:rPr>
          <w:rFonts w:hint="eastAsia" w:cs="Arial" w:asciiTheme="minorEastAsia" w:hAnsiTheme="minorEastAsia" w:eastAsiaTheme="minorEastAsia"/>
          <w:b/>
          <w:color w:val="000000" w:themeColor="text1"/>
          <w:sz w:val="21"/>
          <w:szCs w:val="21"/>
        </w:rPr>
        <w:t>1</w:t>
      </w:r>
      <w:r>
        <w:rPr>
          <w:rFonts w:cs="Arial" w:asciiTheme="minorEastAsia" w:hAnsiTheme="minorEastAsia" w:eastAsiaTheme="minorEastAsia"/>
          <w:b/>
          <w:color w:val="000000" w:themeColor="text1"/>
          <w:sz w:val="21"/>
          <w:szCs w:val="21"/>
        </w:rPr>
        <w:t>）实力较强的办学实体</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国家开放大学西安分部是一所以现代信息技术为主要手段，采用广播电视、文字和音像教材、计算机网络等多种现代化媒体，进行远程学历教育和非学历继续教育的综合性开放大学，是全国</w:t>
      </w:r>
      <w:r>
        <w:rPr>
          <w:rFonts w:asciiTheme="minorEastAsia" w:hAnsiTheme="minorEastAsia" w:eastAsiaTheme="minorEastAsia"/>
          <w:color w:val="000000"/>
          <w:sz w:val="21"/>
          <w:szCs w:val="21"/>
          <w:shd w:val="clear" w:color="auto" w:fill="FFFFFF"/>
        </w:rPr>
        <w:t>44</w:t>
      </w:r>
      <w:r>
        <w:rPr>
          <w:rFonts w:hint="eastAsia" w:asciiTheme="minorEastAsia" w:hAnsiTheme="minorEastAsia" w:eastAsiaTheme="minorEastAsia"/>
          <w:color w:val="000000"/>
          <w:sz w:val="21"/>
          <w:szCs w:val="21"/>
          <w:shd w:val="clear" w:color="auto" w:fill="FFFFFF"/>
        </w:rPr>
        <w:t>所省级电大之一。国家开放大学西安分部由陕西省人民政府批准，西安市人民政府主办，西安市教育局主管，业务上接受国家开放大学（原中央广播电视大学）指导。主要承担开放教育（本专科）、成人大中专教育、奥鹏远程教育、社区教育、干部网络教育、残疾人教育、职业教育、继续教育等多规格、多层次的学历教育和非学历教育。开设理工、文法、财经、外语、医学、艺术等六类</w:t>
      </w:r>
      <w:r>
        <w:rPr>
          <w:rFonts w:asciiTheme="minorEastAsia" w:hAnsiTheme="minorEastAsia" w:eastAsiaTheme="minorEastAsia"/>
          <w:color w:val="000000"/>
          <w:sz w:val="21"/>
          <w:szCs w:val="21"/>
          <w:shd w:val="clear" w:color="auto" w:fill="FFFFFF"/>
        </w:rPr>
        <w:t>86个专业（其中开放教育本科专业21个、专科专业43个；成人大中专教育专科专业22个），现各类学历教育在校生达6.1万人，非学历继续教育年培训达5</w:t>
      </w:r>
      <w:r>
        <w:rPr>
          <w:rFonts w:hint="eastAsia" w:asciiTheme="minorEastAsia" w:hAnsiTheme="minorEastAsia" w:eastAsiaTheme="minorEastAsia"/>
          <w:color w:val="000000"/>
          <w:sz w:val="21"/>
          <w:szCs w:val="21"/>
          <w:shd w:val="clear" w:color="auto" w:fill="FFFFFF"/>
        </w:rPr>
        <w:t>余万人次。</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国家开放大学西安分部</w:t>
      </w:r>
      <w:r>
        <w:rPr>
          <w:rFonts w:asciiTheme="minorEastAsia" w:hAnsiTheme="minorEastAsia" w:eastAsiaTheme="minorEastAsia"/>
          <w:color w:val="000000"/>
          <w:sz w:val="21"/>
          <w:szCs w:val="21"/>
          <w:shd w:val="clear" w:color="auto" w:fill="FFFFFF"/>
        </w:rPr>
        <w:t>办学历史悠久，办学实力较强，为创办网络工程专业提供了充分准备，办学三十多年来，</w:t>
      </w:r>
      <w:r>
        <w:rPr>
          <w:rFonts w:hint="eastAsia" w:asciiTheme="minorEastAsia" w:hAnsiTheme="minorEastAsia" w:eastAsiaTheme="minorEastAsia"/>
          <w:color w:val="000000"/>
          <w:sz w:val="21"/>
          <w:szCs w:val="21"/>
          <w:shd w:val="clear" w:color="auto" w:fill="FFFFFF"/>
        </w:rPr>
        <w:t>国家开放大学西安分部</w:t>
      </w:r>
      <w:r>
        <w:rPr>
          <w:rFonts w:asciiTheme="minorEastAsia" w:hAnsiTheme="minorEastAsia" w:eastAsiaTheme="minorEastAsia"/>
          <w:color w:val="000000"/>
          <w:sz w:val="21"/>
          <w:szCs w:val="21"/>
          <w:shd w:val="clear" w:color="auto" w:fill="FFFFFF"/>
        </w:rPr>
        <w:t>已向社会输送了一大批实用型高等专门人才。此外，还进行了2万人次的各类岗位专业技术培训，国家开放大学西安分部的毕业生已遍及西安市乃至全省各行各业，有的成为行业或行政领导，有的成为教授、工程师、将军、体育冠军、报刊主编等业务骨干，为当地经济建设和社会发展奉献了自己的才华，做出了积极贡献，并赢得了良好社会声誉。建校三十多年来，</w:t>
      </w:r>
      <w:r>
        <w:rPr>
          <w:rFonts w:hint="eastAsia" w:asciiTheme="minorEastAsia" w:hAnsiTheme="minorEastAsia" w:eastAsiaTheme="minorEastAsia"/>
          <w:color w:val="000000"/>
          <w:sz w:val="21"/>
          <w:szCs w:val="21"/>
          <w:shd w:val="clear" w:color="auto" w:fill="FFFFFF"/>
        </w:rPr>
        <w:t>国家开放大学西安分部</w:t>
      </w:r>
      <w:r>
        <w:rPr>
          <w:rFonts w:asciiTheme="minorEastAsia" w:hAnsiTheme="minorEastAsia" w:eastAsiaTheme="minorEastAsia"/>
          <w:color w:val="000000"/>
          <w:sz w:val="21"/>
          <w:szCs w:val="21"/>
          <w:shd w:val="clear" w:color="auto" w:fill="FFFFFF"/>
        </w:rPr>
        <w:t>始终坚持以当地社会经济建设需求的人才为培养原则，以科学严谨的治学、可靠的教学质量、一流的教学设施和师资队伍以及覆盖城乡的教学网络优势为依托，现已发展成为西安现代远程教育的一支主力军</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为西安地区的人才培养、经济发展和社会进步做出了应有的贡献。西安广播电视大学下设有分校、工作站和学习中心，办学触角遍及西安城乡，建立了较为周全的系统办学网络，为不同地域的求学者提供了方便的教学支持服务。</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国家开放大学西安分部紧密结合西安市社会经济文化发展的需要，形成了“布局合理、覆盖全市”的现代远程开放教育办学网络，办学触角遍布西安城乡，为不同区域的人群提供方便的终身学习服务。在原有五家直属分校的基础上，为保证办学盲点的全覆盖及专业性区域发展需要，增设八所直属学习中心。进一步拉大办学骨架，拓展</w:t>
      </w:r>
      <w:r>
        <w:rPr>
          <w:rFonts w:asciiTheme="minorEastAsia" w:hAnsiTheme="minorEastAsia" w:eastAsiaTheme="minorEastAsia"/>
          <w:color w:val="000000"/>
          <w:sz w:val="21"/>
          <w:szCs w:val="21"/>
          <w:shd w:val="clear" w:color="auto" w:fill="FFFFFF"/>
        </w:rPr>
        <w:t>招生领域</w:t>
      </w:r>
      <w:r>
        <w:rPr>
          <w:rFonts w:hint="eastAsia" w:asciiTheme="minorEastAsia" w:hAnsiTheme="minorEastAsia" w:eastAsiaTheme="minorEastAsia"/>
          <w:color w:val="000000"/>
          <w:sz w:val="21"/>
          <w:szCs w:val="21"/>
          <w:shd w:val="clear" w:color="auto" w:fill="FFFFFF"/>
        </w:rPr>
        <w:t>。</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国家开放大学西安分部高度重视信息化硬件设施的建设，投入了大量的建设资金，为学校教学及教学管理提供了有力支撑。现有虚拟演播室两间、电子屏演播室一间，录播教室一间、云教室三</w:t>
      </w:r>
      <w:r>
        <w:rPr>
          <w:rFonts w:asciiTheme="minorEastAsia" w:hAnsiTheme="minorEastAsia" w:eastAsiaTheme="minorEastAsia"/>
          <w:color w:val="000000"/>
          <w:sz w:val="21"/>
          <w:szCs w:val="21"/>
          <w:shd w:val="clear" w:color="auto" w:fill="FFFFFF"/>
        </w:rPr>
        <w:t>间</w:t>
      </w:r>
      <w:r>
        <w:rPr>
          <w:rFonts w:hint="eastAsia" w:asciiTheme="minorEastAsia" w:hAnsiTheme="minorEastAsia" w:eastAsiaTheme="minorEastAsia"/>
          <w:color w:val="000000"/>
          <w:sz w:val="21"/>
          <w:szCs w:val="21"/>
          <w:shd w:val="clear" w:color="auto" w:fill="FFFFFF"/>
        </w:rPr>
        <w:t>；多媒体教室</w:t>
      </w:r>
      <w:r>
        <w:rPr>
          <w:rFonts w:asciiTheme="minorEastAsia" w:hAnsiTheme="minorEastAsia" w:eastAsiaTheme="minorEastAsia"/>
          <w:color w:val="000000"/>
          <w:sz w:val="21"/>
          <w:szCs w:val="21"/>
          <w:shd w:val="clear" w:color="auto" w:fill="FFFFFF"/>
        </w:rPr>
        <w:t>45间；采用中国电信100M宽带接入，校园网千兆主干，百兆桌面；搭建了“一库多网”中心机房，配备有核心交换机、应用服务器、存储等设施，建立有负载均衡机制、虚拟化应用系统和</w:t>
      </w:r>
      <w:r>
        <w:rPr>
          <w:rFonts w:hint="eastAsia" w:asciiTheme="minorEastAsia" w:hAnsiTheme="minorEastAsia" w:eastAsiaTheme="minorEastAsia"/>
          <w:color w:val="000000"/>
          <w:sz w:val="21"/>
          <w:szCs w:val="21"/>
          <w:shd w:val="clear" w:color="auto" w:fill="FFFFFF"/>
        </w:rPr>
        <w:t>P2P流媒体系统。</w:t>
      </w:r>
    </w:p>
    <w:p>
      <w:pPr>
        <w:adjustRightInd w:val="0"/>
        <w:snapToGrid w:val="0"/>
        <w:ind w:firstLine="316" w:firstLineChars="150"/>
        <w:rPr>
          <w:rFonts w:asciiTheme="minorEastAsia" w:hAnsiTheme="minorEastAsia" w:eastAsiaTheme="minorEastAsia"/>
          <w:b/>
          <w:color w:val="000000" w:themeColor="text1"/>
          <w:sz w:val="21"/>
          <w:szCs w:val="21"/>
        </w:rPr>
      </w:pPr>
      <w:r>
        <w:rPr>
          <w:rFonts w:cs="Arial" w:asciiTheme="minorEastAsia" w:hAnsiTheme="minorEastAsia" w:eastAsiaTheme="minorEastAsia"/>
          <w:b/>
          <w:color w:val="000000" w:themeColor="text1"/>
          <w:sz w:val="21"/>
          <w:szCs w:val="21"/>
        </w:rPr>
        <w:t>（</w:t>
      </w:r>
      <w:r>
        <w:rPr>
          <w:rFonts w:asciiTheme="minorEastAsia" w:hAnsiTheme="minorEastAsia" w:eastAsiaTheme="minorEastAsia"/>
          <w:b/>
          <w:color w:val="000000" w:themeColor="text1"/>
          <w:sz w:val="21"/>
          <w:szCs w:val="21"/>
        </w:rPr>
        <w:t>2）具有力量雄厚的教学、资源建设、科研队伍</w:t>
      </w:r>
    </w:p>
    <w:p>
      <w:pPr>
        <w:adjustRightInd w:val="0"/>
        <w:snapToGrid w:val="0"/>
        <w:ind w:firstLine="422"/>
        <w:rPr>
          <w:rFonts w:asciiTheme="minorEastAsia" w:hAnsiTheme="minorEastAsia" w:eastAsiaTheme="minorEastAsia"/>
          <w:b/>
          <w:color w:val="000000" w:themeColor="text1"/>
          <w:sz w:val="21"/>
          <w:szCs w:val="21"/>
        </w:rPr>
      </w:pPr>
      <w:r>
        <w:rPr>
          <w:rFonts w:asciiTheme="minorEastAsia" w:hAnsiTheme="minorEastAsia" w:eastAsiaTheme="minorEastAsia"/>
          <w:b/>
          <w:color w:val="000000" w:themeColor="text1"/>
          <w:sz w:val="21"/>
          <w:szCs w:val="21"/>
        </w:rPr>
        <w:fldChar w:fldCharType="begin"/>
      </w:r>
      <w:r>
        <w:rPr>
          <w:rFonts w:asciiTheme="minorEastAsia" w:hAnsiTheme="minorEastAsia" w:eastAsiaTheme="minorEastAsia"/>
          <w:b/>
          <w:color w:val="000000" w:themeColor="text1"/>
          <w:sz w:val="21"/>
          <w:szCs w:val="21"/>
        </w:rPr>
        <w:instrText xml:space="preserve"> = 1 \* GB3 </w:instrText>
      </w:r>
      <w:r>
        <w:rPr>
          <w:rFonts w:asciiTheme="minorEastAsia" w:hAnsiTheme="minorEastAsia" w:eastAsiaTheme="minorEastAsia"/>
          <w:b/>
          <w:color w:val="000000" w:themeColor="text1"/>
          <w:sz w:val="21"/>
          <w:szCs w:val="21"/>
        </w:rPr>
        <w:fldChar w:fldCharType="separate"/>
      </w:r>
      <w:r>
        <w:rPr>
          <w:rFonts w:hint="eastAsia" w:cs="宋体" w:asciiTheme="minorEastAsia" w:hAnsiTheme="minorEastAsia" w:eastAsiaTheme="minorEastAsia"/>
          <w:b/>
          <w:color w:val="000000" w:themeColor="text1"/>
          <w:sz w:val="21"/>
          <w:szCs w:val="21"/>
        </w:rPr>
        <w:t>①</w:t>
      </w:r>
      <w:r>
        <w:rPr>
          <w:rFonts w:asciiTheme="minorEastAsia" w:hAnsiTheme="minorEastAsia" w:eastAsiaTheme="minorEastAsia"/>
          <w:b/>
          <w:color w:val="000000" w:themeColor="text1"/>
          <w:sz w:val="21"/>
          <w:szCs w:val="21"/>
        </w:rPr>
        <w:fldChar w:fldCharType="end"/>
      </w:r>
      <w:r>
        <w:rPr>
          <w:rFonts w:asciiTheme="minorEastAsia" w:hAnsiTheme="minorEastAsia" w:eastAsiaTheme="minorEastAsia"/>
          <w:b/>
          <w:color w:val="000000" w:themeColor="text1"/>
          <w:sz w:val="21"/>
          <w:szCs w:val="21"/>
        </w:rPr>
        <w:t>教学团队</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t>国家开放大学西安分部成立了专业建设团队，专兼职教师共12人，其中高级职称的有6人，中级职称为6人，均具有硕士以上学</w:t>
      </w:r>
      <w:r>
        <w:rPr>
          <w:rFonts w:hint="eastAsia" w:asciiTheme="minorEastAsia" w:hAnsiTheme="minorEastAsia" w:eastAsiaTheme="minorEastAsia"/>
          <w:color w:val="000000"/>
          <w:sz w:val="21"/>
          <w:szCs w:val="21"/>
          <w:shd w:val="clear" w:color="auto" w:fill="FFFFFF"/>
        </w:rPr>
        <w:t>历</w:t>
      </w:r>
      <w:r>
        <w:rPr>
          <w:rFonts w:asciiTheme="minorEastAsia" w:hAnsiTheme="minorEastAsia" w:eastAsiaTheme="minorEastAsia"/>
          <w:color w:val="000000"/>
          <w:sz w:val="21"/>
          <w:szCs w:val="21"/>
          <w:shd w:val="clear" w:color="auto" w:fill="FFFFFF"/>
        </w:rPr>
        <w:t>。专业建设成员由普通高校和电大系统的专兼职教师组成，特聘请西安建筑科技大学的安全工程专业的三位教授作为本专业的顾问，西安科技大学的一位教授作为专业建设学科带头人。</w:t>
      </w:r>
      <w:r>
        <w:rPr>
          <w:rFonts w:hint="eastAsia" w:asciiTheme="minorEastAsia" w:hAnsiTheme="minorEastAsia" w:eastAsiaTheme="minorEastAsia"/>
          <w:color w:val="000000"/>
          <w:sz w:val="21"/>
          <w:szCs w:val="21"/>
          <w:shd w:val="clear" w:color="auto" w:fill="FFFFFF"/>
        </w:rPr>
        <w:t>其余成员</w:t>
      </w:r>
      <w:r>
        <w:rPr>
          <w:rFonts w:asciiTheme="minorEastAsia" w:hAnsiTheme="minorEastAsia" w:eastAsiaTheme="minorEastAsia"/>
          <w:color w:val="000000"/>
          <w:sz w:val="21"/>
          <w:szCs w:val="21"/>
          <w:shd w:val="clear" w:color="auto" w:fill="FFFFFF"/>
        </w:rPr>
        <w:t>主要是我校专职教师，按照各管一面，分工协作的办法，完成专业建设中的诸多问题，是专业建设的主要依靠力量。在课程分配上，基本按照各自在</w:t>
      </w:r>
      <w:r>
        <w:rPr>
          <w:rFonts w:hint="eastAsia" w:asciiTheme="minorEastAsia" w:hAnsiTheme="minorEastAsia" w:eastAsiaTheme="minorEastAsia"/>
          <w:color w:val="000000"/>
          <w:sz w:val="21"/>
          <w:szCs w:val="21"/>
          <w:shd w:val="clear" w:color="auto" w:fill="FFFFFF"/>
        </w:rPr>
        <w:t>国家开放</w:t>
      </w:r>
      <w:r>
        <w:rPr>
          <w:rFonts w:asciiTheme="minorEastAsia" w:hAnsiTheme="minorEastAsia" w:eastAsiaTheme="minorEastAsia"/>
          <w:color w:val="000000"/>
          <w:sz w:val="21"/>
          <w:szCs w:val="21"/>
          <w:shd w:val="clear" w:color="auto" w:fill="FFFFFF"/>
        </w:rPr>
        <w:t>大学课程体系中分管的课程类别，来负责《安全</w:t>
      </w:r>
      <w:r>
        <w:rPr>
          <w:rFonts w:hint="eastAsia" w:asciiTheme="minorEastAsia" w:hAnsiTheme="minorEastAsia" w:eastAsiaTheme="minorEastAsia"/>
          <w:color w:val="000000"/>
          <w:sz w:val="21"/>
          <w:szCs w:val="21"/>
          <w:shd w:val="clear" w:color="auto" w:fill="FFFFFF"/>
        </w:rPr>
        <w:t>技术与</w:t>
      </w:r>
      <w:r>
        <w:rPr>
          <w:rFonts w:asciiTheme="minorEastAsia" w:hAnsiTheme="minorEastAsia" w:eastAsiaTheme="minorEastAsia"/>
          <w:color w:val="000000"/>
          <w:sz w:val="21"/>
          <w:szCs w:val="21"/>
          <w:shd w:val="clear" w:color="auto" w:fill="FFFFFF"/>
        </w:rPr>
        <w:t>管理》新增专业中的课程。</w:t>
      </w:r>
    </w:p>
    <w:p>
      <w:pPr>
        <w:adjustRightInd w:val="0"/>
        <w:snapToGrid w:val="0"/>
        <w:ind w:firstLine="422"/>
        <w:rPr>
          <w:rFonts w:cs="Arial" w:asciiTheme="minorEastAsia" w:hAnsiTheme="minorEastAsia" w:eastAsiaTheme="minorEastAsia"/>
          <w:b/>
          <w:color w:val="000000" w:themeColor="text1"/>
          <w:sz w:val="21"/>
          <w:szCs w:val="21"/>
        </w:rPr>
      </w:pPr>
      <w:r>
        <w:rPr>
          <w:rFonts w:cs="Arial" w:asciiTheme="minorEastAsia" w:hAnsiTheme="minorEastAsia" w:eastAsiaTheme="minorEastAsia"/>
          <w:b/>
          <w:color w:val="000000" w:themeColor="text1"/>
          <w:sz w:val="21"/>
          <w:szCs w:val="21"/>
        </w:rPr>
        <w:fldChar w:fldCharType="begin"/>
      </w:r>
      <w:r>
        <w:rPr>
          <w:rFonts w:hint="eastAsia" w:cs="Arial" w:asciiTheme="minorEastAsia" w:hAnsiTheme="minorEastAsia" w:eastAsiaTheme="minorEastAsia"/>
          <w:b/>
          <w:color w:val="000000" w:themeColor="text1"/>
          <w:sz w:val="21"/>
          <w:szCs w:val="21"/>
        </w:rPr>
        <w:instrText xml:space="preserve">= 2 \* GB3</w:instrText>
      </w:r>
      <w:r>
        <w:rPr>
          <w:rFonts w:cs="Arial" w:asciiTheme="minorEastAsia" w:hAnsiTheme="minorEastAsia" w:eastAsiaTheme="minorEastAsia"/>
          <w:b/>
          <w:color w:val="000000" w:themeColor="text1"/>
          <w:sz w:val="21"/>
          <w:szCs w:val="21"/>
        </w:rPr>
        <w:fldChar w:fldCharType="separate"/>
      </w:r>
      <w:r>
        <w:rPr>
          <w:rFonts w:hint="eastAsia" w:cs="Arial" w:asciiTheme="minorEastAsia" w:hAnsiTheme="minorEastAsia" w:eastAsiaTheme="minorEastAsia"/>
          <w:b/>
          <w:color w:val="000000" w:themeColor="text1"/>
          <w:sz w:val="21"/>
          <w:szCs w:val="21"/>
        </w:rPr>
        <w:t>②</w:t>
      </w:r>
      <w:r>
        <w:rPr>
          <w:rFonts w:cs="Arial" w:asciiTheme="minorEastAsia" w:hAnsiTheme="minorEastAsia" w:eastAsiaTheme="minorEastAsia"/>
          <w:b/>
          <w:color w:val="000000" w:themeColor="text1"/>
          <w:sz w:val="21"/>
          <w:szCs w:val="21"/>
        </w:rPr>
        <w:fldChar w:fldCharType="end"/>
      </w:r>
      <w:r>
        <w:rPr>
          <w:rFonts w:hint="eastAsia" w:cs="Arial" w:asciiTheme="minorEastAsia" w:hAnsiTheme="minorEastAsia" w:eastAsiaTheme="minorEastAsia"/>
          <w:b/>
          <w:color w:val="000000" w:themeColor="text1"/>
          <w:sz w:val="21"/>
          <w:szCs w:val="21"/>
        </w:rPr>
        <w:t>资源建设</w:t>
      </w:r>
      <w:r>
        <w:rPr>
          <w:rFonts w:cs="Arial" w:asciiTheme="minorEastAsia" w:hAnsiTheme="minorEastAsia" w:eastAsiaTheme="minorEastAsia"/>
          <w:b/>
          <w:color w:val="000000" w:themeColor="text1"/>
          <w:sz w:val="21"/>
          <w:szCs w:val="21"/>
        </w:rPr>
        <w:t>团队</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国家开放大学西安分部自</w:t>
      </w:r>
      <w:r>
        <w:rPr>
          <w:rFonts w:asciiTheme="minorEastAsia" w:hAnsiTheme="minorEastAsia" w:eastAsiaTheme="minorEastAsia"/>
          <w:color w:val="000000"/>
          <w:sz w:val="21"/>
          <w:szCs w:val="21"/>
          <w:shd w:val="clear" w:color="auto" w:fill="FFFFFF"/>
        </w:rPr>
        <w:t>2012</w:t>
      </w:r>
      <w:r>
        <w:rPr>
          <w:rFonts w:hint="eastAsia" w:asciiTheme="minorEastAsia" w:hAnsiTheme="minorEastAsia" w:eastAsiaTheme="minorEastAsia"/>
          <w:color w:val="000000"/>
          <w:sz w:val="21"/>
          <w:szCs w:val="21"/>
          <w:shd w:val="clear" w:color="auto" w:fill="FFFFFF"/>
        </w:rPr>
        <w:t>年成立了西安电大教学资源建设委员会（简称资委会），全面负责教学资源建设工作的统筹规划与指导。资委会主任委员由学校主管教学校长担任，委员分别由教学部、教务处、教学督导、一线办学部门、教育技术与资源中心等负责人以及校外督学专家担任。资源建设办公室专门设在教育技术与资源中心，目的是更便于资源管理、指导和团队协作。</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t>资源建设团队由教师团队与技术团队构成。教师团队以专职教师为主，兼职教师为辅。近几年，学校通过人才引进的方式引进了硕士、博士专业人才，充实了教师队伍。技术队伍成员来自于北京师范大学、西北师范大学、陕西科技大学等远程教育、教育技术、影视传媒等领域的硕士研究生。目前，我校教育技术与资源中心共有25人，资源制作人员达16人，占部门总人数的64%，形成并培育了了一个人员稳定、专业性较强的技术团队。</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t>截止2015年，国家开放大学西安分部自建视频4448节（每节50分钟），网络课程36门，国开精品课程6门，微课400余个。10门网络课程荣获全国多媒体课件大赛一等奖，5门网络课程荣获全国多媒体课件大赛二等奖，6门分别获得2012年至2015年度国家开放大学精品课程、国家开放大学精品课程称号。</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t>2016年，经过学校资源建设委员会的评议，确定《安全技术与管理》专业的一门课程作为国家开放大学西安分部的精品课程进行资源建设。</w:t>
      </w:r>
    </w:p>
    <w:p>
      <w:pPr>
        <w:adjustRightInd w:val="0"/>
        <w:snapToGrid w:val="0"/>
        <w:ind w:firstLine="422"/>
        <w:rPr>
          <w:rFonts w:cs="Arial" w:asciiTheme="minorEastAsia" w:hAnsiTheme="minorEastAsia" w:eastAsiaTheme="minorEastAsia"/>
          <w:b/>
          <w:color w:val="000000" w:themeColor="text1"/>
          <w:sz w:val="21"/>
          <w:szCs w:val="21"/>
        </w:rPr>
      </w:pPr>
      <w:r>
        <w:rPr>
          <w:rFonts w:cs="Arial" w:asciiTheme="minorEastAsia" w:hAnsiTheme="minorEastAsia" w:eastAsiaTheme="minorEastAsia"/>
          <w:b/>
          <w:color w:val="000000" w:themeColor="text1"/>
          <w:sz w:val="21"/>
          <w:szCs w:val="21"/>
        </w:rPr>
        <w:fldChar w:fldCharType="begin"/>
      </w:r>
      <w:r>
        <w:rPr>
          <w:rFonts w:hint="eastAsia" w:cs="Arial" w:asciiTheme="minorEastAsia" w:hAnsiTheme="minorEastAsia" w:eastAsiaTheme="minorEastAsia"/>
          <w:b/>
          <w:color w:val="000000" w:themeColor="text1"/>
          <w:sz w:val="21"/>
          <w:szCs w:val="21"/>
        </w:rPr>
        <w:instrText xml:space="preserve">= 3 \* GB3</w:instrText>
      </w:r>
      <w:r>
        <w:rPr>
          <w:rFonts w:cs="Arial" w:asciiTheme="minorEastAsia" w:hAnsiTheme="minorEastAsia" w:eastAsiaTheme="minorEastAsia"/>
          <w:b/>
          <w:color w:val="000000" w:themeColor="text1"/>
          <w:sz w:val="21"/>
          <w:szCs w:val="21"/>
        </w:rPr>
        <w:fldChar w:fldCharType="separate"/>
      </w:r>
      <w:r>
        <w:rPr>
          <w:rFonts w:hint="eastAsia" w:cs="Arial" w:asciiTheme="minorEastAsia" w:hAnsiTheme="minorEastAsia" w:eastAsiaTheme="minorEastAsia"/>
          <w:b/>
          <w:color w:val="000000" w:themeColor="text1"/>
          <w:sz w:val="21"/>
          <w:szCs w:val="21"/>
        </w:rPr>
        <w:t>③</w:t>
      </w:r>
      <w:r>
        <w:rPr>
          <w:rFonts w:cs="Arial" w:asciiTheme="minorEastAsia" w:hAnsiTheme="minorEastAsia" w:eastAsiaTheme="minorEastAsia"/>
          <w:b/>
          <w:color w:val="000000" w:themeColor="text1"/>
          <w:sz w:val="21"/>
          <w:szCs w:val="21"/>
        </w:rPr>
        <w:fldChar w:fldCharType="end"/>
      </w:r>
      <w:r>
        <w:rPr>
          <w:rFonts w:hint="eastAsia" w:cs="Arial" w:asciiTheme="minorEastAsia" w:hAnsiTheme="minorEastAsia" w:eastAsiaTheme="minorEastAsia"/>
          <w:b/>
          <w:color w:val="000000" w:themeColor="text1"/>
          <w:sz w:val="21"/>
          <w:szCs w:val="21"/>
        </w:rPr>
        <w:t>科研</w:t>
      </w:r>
      <w:r>
        <w:rPr>
          <w:rFonts w:cs="Arial" w:asciiTheme="minorEastAsia" w:hAnsiTheme="minorEastAsia" w:eastAsiaTheme="minorEastAsia"/>
          <w:b/>
          <w:color w:val="000000" w:themeColor="text1"/>
          <w:sz w:val="21"/>
          <w:szCs w:val="21"/>
        </w:rPr>
        <w:t>团队</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t>国家开放大学西安分部完成了2012-2014年度校级13项专项课题，其中3项同时承担国家开放大学课题研究，2项同时承担陕西省教科所课题研究。经国家开放大学专家审核，3项优秀。积极参与西安市社会科学规划基金课题，完成1项专项课题。在2015年5月举办的全国电大数字图书骨干教师高级研修班上，学校网络课程书架的课题首次被作为教学案例讲授。学校有多项科研课题被省市有关部门立项，21个校级课题立项，多个校级网络课程、系列微课程立项建设。获得了国家开放大学1个科研奖项。</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drawing>
          <wp:anchor distT="0" distB="0" distL="114300" distR="114300" simplePos="0" relativeHeight="251664384" behindDoc="0" locked="0" layoutInCell="1" allowOverlap="1">
            <wp:simplePos x="0" y="0"/>
            <wp:positionH relativeFrom="column">
              <wp:posOffset>5449570</wp:posOffset>
            </wp:positionH>
            <wp:positionV relativeFrom="paragraph">
              <wp:posOffset>-1332865</wp:posOffset>
            </wp:positionV>
            <wp:extent cx="304800" cy="171450"/>
            <wp:effectExtent l="19050" t="0" r="0" b="0"/>
            <wp:wrapNone/>
            <wp:docPr id="18" name="图片 17"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14.jpg"/>
                    <pic:cNvPicPr>
                      <a:picLocks noChangeAspect="1"/>
                    </pic:cNvPicPr>
                  </pic:nvPicPr>
                  <pic:blipFill>
                    <a:blip r:embed="rId15"/>
                    <a:stretch>
                      <a:fillRect/>
                    </a:stretch>
                  </pic:blipFill>
                  <pic:spPr>
                    <a:xfrm>
                      <a:off x="0" y="0"/>
                      <a:ext cx="304800" cy="171450"/>
                    </a:xfrm>
                    <a:prstGeom prst="rect">
                      <a:avLst/>
                    </a:prstGeom>
                  </pic:spPr>
                </pic:pic>
              </a:graphicData>
            </a:graphic>
          </wp:anchor>
        </w:drawing>
      </w:r>
      <w:r>
        <w:rPr>
          <w:rFonts w:asciiTheme="minorEastAsia" w:hAnsiTheme="minorEastAsia" w:eastAsiaTheme="minorEastAsia"/>
          <w:color w:val="000000"/>
          <w:sz w:val="21"/>
          <w:szCs w:val="21"/>
          <w:shd w:val="clear" w:color="auto" w:fill="FFFFFF"/>
        </w:rPr>
        <w:t>2016年度，“基于《工程项目管理》课程教学资源建设体系的研究”作</w:t>
      </w:r>
      <w:r>
        <w:rPr>
          <w:rFonts w:hint="eastAsia" w:asciiTheme="minorEastAsia" w:hAnsiTheme="minorEastAsia" w:eastAsiaTheme="minorEastAsia"/>
          <w:color w:val="000000"/>
          <w:sz w:val="21"/>
          <w:szCs w:val="21"/>
          <w:shd w:val="clear" w:color="auto" w:fill="FFFFFF"/>
        </w:rPr>
        <w:t>为国家开放大学西安分部重点</w:t>
      </w:r>
      <w:r>
        <w:rPr>
          <w:rFonts w:asciiTheme="minorEastAsia" w:hAnsiTheme="minorEastAsia" w:eastAsiaTheme="minorEastAsia"/>
          <w:color w:val="000000"/>
          <w:sz w:val="21"/>
          <w:szCs w:val="21"/>
          <w:shd w:val="clear" w:color="auto" w:fill="FFFFFF"/>
        </w:rPr>
        <w:t>课题。</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（3）资源优势</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国家开放大学西安分部积极筹备</w:t>
      </w:r>
      <w:r>
        <w:rPr>
          <w:rFonts w:asciiTheme="minorEastAsia" w:hAnsiTheme="minorEastAsia" w:eastAsiaTheme="minorEastAsia"/>
          <w:color w:val="000000"/>
          <w:sz w:val="21"/>
          <w:szCs w:val="21"/>
          <w:shd w:val="clear" w:color="auto" w:fill="FFFFFF"/>
        </w:rPr>
        <w:t>和</w:t>
      </w:r>
      <w:r>
        <w:rPr>
          <w:rFonts w:hint="eastAsia" w:asciiTheme="minorEastAsia" w:hAnsiTheme="minorEastAsia" w:eastAsiaTheme="minorEastAsia"/>
          <w:color w:val="000000"/>
          <w:sz w:val="21"/>
          <w:szCs w:val="21"/>
          <w:shd w:val="clear" w:color="auto" w:fill="FFFFFF"/>
        </w:rPr>
        <w:t>开展安全技术与</w:t>
      </w:r>
      <w:r>
        <w:rPr>
          <w:rFonts w:asciiTheme="minorEastAsia" w:hAnsiTheme="minorEastAsia" w:eastAsiaTheme="minorEastAsia"/>
          <w:color w:val="000000"/>
          <w:sz w:val="21"/>
          <w:szCs w:val="21"/>
          <w:shd w:val="clear" w:color="auto" w:fill="FFFFFF"/>
        </w:rPr>
        <w:t>管理</w:t>
      </w:r>
      <w:r>
        <w:rPr>
          <w:rFonts w:hint="eastAsia" w:asciiTheme="minorEastAsia" w:hAnsiTheme="minorEastAsia" w:eastAsiaTheme="minorEastAsia"/>
          <w:color w:val="000000"/>
          <w:sz w:val="21"/>
          <w:szCs w:val="21"/>
          <w:shd w:val="clear" w:color="auto" w:fill="FFFFFF"/>
        </w:rPr>
        <w:t>专业的资源建设工作。由10多位西安市内行业专家、普通</w:t>
      </w:r>
      <w:r>
        <w:rPr>
          <w:rFonts w:asciiTheme="minorEastAsia" w:hAnsiTheme="minorEastAsia" w:eastAsiaTheme="minorEastAsia"/>
          <w:color w:val="000000"/>
          <w:sz w:val="21"/>
          <w:szCs w:val="21"/>
          <w:shd w:val="clear" w:color="auto" w:fill="FFFFFF"/>
        </w:rPr>
        <w:t>高校专家</w:t>
      </w:r>
      <w:r>
        <w:rPr>
          <w:rFonts w:hint="eastAsia" w:asciiTheme="minorEastAsia" w:hAnsiTheme="minorEastAsia" w:eastAsiaTheme="minorEastAsia"/>
          <w:color w:val="000000"/>
          <w:sz w:val="21"/>
          <w:szCs w:val="21"/>
          <w:shd w:val="clear" w:color="auto" w:fill="FFFFFF"/>
        </w:rPr>
        <w:t>组成的教材和资源建设工作已经开始启动，由西安建筑</w:t>
      </w:r>
      <w:r>
        <w:rPr>
          <w:rFonts w:asciiTheme="minorEastAsia" w:hAnsiTheme="minorEastAsia" w:eastAsiaTheme="minorEastAsia"/>
          <w:color w:val="000000"/>
          <w:sz w:val="21"/>
          <w:szCs w:val="21"/>
          <w:shd w:val="clear" w:color="auto" w:fill="FFFFFF"/>
        </w:rPr>
        <w:t>科技大学</w:t>
      </w:r>
      <w:r>
        <w:rPr>
          <w:rFonts w:hint="eastAsia" w:asciiTheme="minorEastAsia" w:hAnsiTheme="minorEastAsia" w:eastAsiaTheme="minorEastAsia"/>
          <w:color w:val="000000"/>
          <w:sz w:val="21"/>
          <w:szCs w:val="21"/>
          <w:shd w:val="clear" w:color="auto" w:fill="FFFFFF"/>
        </w:rPr>
        <w:t>、西安科技</w:t>
      </w:r>
      <w:r>
        <w:rPr>
          <w:rFonts w:asciiTheme="minorEastAsia" w:hAnsiTheme="minorEastAsia" w:eastAsiaTheme="minorEastAsia"/>
          <w:color w:val="000000"/>
          <w:sz w:val="21"/>
          <w:szCs w:val="21"/>
          <w:shd w:val="clear" w:color="auto" w:fill="FFFFFF"/>
        </w:rPr>
        <w:t>大学</w:t>
      </w:r>
      <w:r>
        <w:rPr>
          <w:rFonts w:hint="eastAsia" w:asciiTheme="minorEastAsia" w:hAnsiTheme="minorEastAsia" w:eastAsiaTheme="minorEastAsia"/>
          <w:color w:val="000000"/>
          <w:sz w:val="21"/>
          <w:szCs w:val="21"/>
          <w:shd w:val="clear" w:color="auto" w:fill="FFFFFF"/>
        </w:rPr>
        <w:t>共同进行的第一学期专业基础教材《安全法规》已经开始编写，并将随教学进度逐渐完成课程资源建设。与此同时，学校还计划引进国内外先进的相关教材和教学精品资源。</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国家开放大学西安分部每年</w:t>
      </w:r>
      <w:r>
        <w:rPr>
          <w:rFonts w:asciiTheme="minorEastAsia" w:hAnsiTheme="minorEastAsia" w:eastAsiaTheme="minorEastAsia"/>
          <w:color w:val="000000"/>
          <w:sz w:val="21"/>
          <w:szCs w:val="21"/>
          <w:shd w:val="clear" w:color="auto" w:fill="FFFFFF"/>
        </w:rPr>
        <w:t>将投入一定的资源建设资金，用于专业课程教学资源的建设。</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fldChar w:fldCharType="begin"/>
      </w:r>
      <w:r>
        <w:rPr>
          <w:rFonts w:hint="eastAsia" w:asciiTheme="minorEastAsia" w:hAnsiTheme="minorEastAsia" w:eastAsiaTheme="minorEastAsia"/>
          <w:color w:val="000000"/>
          <w:sz w:val="21"/>
          <w:szCs w:val="21"/>
          <w:shd w:val="clear" w:color="auto" w:fill="FFFFFF"/>
        </w:rPr>
        <w:instrText xml:space="preserve">= 1 \* GB3</w:instrText>
      </w:r>
      <w:r>
        <w:rPr>
          <w:rFonts w:asciiTheme="minorEastAsia" w:hAnsiTheme="minorEastAsia" w:eastAsiaTheme="minorEastAsia"/>
          <w:color w:val="000000"/>
          <w:sz w:val="21"/>
          <w:szCs w:val="21"/>
          <w:shd w:val="clear" w:color="auto" w:fill="FFFFFF"/>
        </w:rPr>
        <w:fldChar w:fldCharType="separate"/>
      </w:r>
      <w:r>
        <w:rPr>
          <w:rFonts w:hint="eastAsia" w:asciiTheme="minorEastAsia" w:hAnsiTheme="minorEastAsia" w:eastAsiaTheme="minorEastAsia"/>
          <w:color w:val="000000"/>
          <w:sz w:val="21"/>
          <w:szCs w:val="21"/>
          <w:shd w:val="clear" w:color="auto" w:fill="FFFFFF"/>
        </w:rPr>
        <w:t>①</w:t>
      </w:r>
      <w:r>
        <w:rPr>
          <w:rFonts w:asciiTheme="minorEastAsia" w:hAnsiTheme="minorEastAsia" w:eastAsiaTheme="minorEastAsia"/>
          <w:color w:val="000000"/>
          <w:sz w:val="21"/>
          <w:szCs w:val="21"/>
          <w:shd w:val="clear" w:color="auto" w:fill="FFFFFF"/>
        </w:rPr>
        <w:fldChar w:fldCharType="end"/>
      </w:r>
      <w:r>
        <w:rPr>
          <w:rFonts w:hint="eastAsia" w:asciiTheme="minorEastAsia" w:hAnsiTheme="minorEastAsia" w:eastAsiaTheme="minorEastAsia"/>
          <w:color w:val="000000"/>
          <w:sz w:val="21"/>
          <w:szCs w:val="21"/>
          <w:shd w:val="clear" w:color="auto" w:fill="FFFFFF"/>
        </w:rPr>
        <w:t>文字教材</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2016年秋季的第一届学生将</w:t>
      </w:r>
      <w:r>
        <w:rPr>
          <w:rFonts w:asciiTheme="minorEastAsia" w:hAnsiTheme="minorEastAsia" w:eastAsiaTheme="minorEastAsia"/>
          <w:color w:val="000000"/>
          <w:sz w:val="21"/>
          <w:szCs w:val="21"/>
          <w:shd w:val="clear" w:color="auto" w:fill="FFFFFF"/>
        </w:rPr>
        <w:t>进行</w:t>
      </w:r>
      <w:r>
        <w:rPr>
          <w:rFonts w:hint="eastAsia" w:asciiTheme="minorEastAsia" w:hAnsiTheme="minorEastAsia" w:eastAsiaTheme="minorEastAsia"/>
          <w:color w:val="000000"/>
          <w:sz w:val="21"/>
          <w:szCs w:val="21"/>
          <w:shd w:val="clear" w:color="auto" w:fill="FFFFFF"/>
        </w:rPr>
        <w:t>公共基础课程</w:t>
      </w:r>
      <w:r>
        <w:rPr>
          <w:rFonts w:asciiTheme="minorEastAsia" w:hAnsiTheme="minorEastAsia" w:eastAsiaTheme="minorEastAsia"/>
          <w:color w:val="000000"/>
          <w:sz w:val="21"/>
          <w:szCs w:val="21"/>
          <w:shd w:val="clear" w:color="auto" w:fill="FFFFFF"/>
        </w:rPr>
        <w:t>的学习，主要依托国家开放大学的必修课程资源进行，主要有：中国特色社会主义理论体系概论、国家开放大学学习指南、英语I（</w:t>
      </w:r>
      <w:r>
        <w:rPr>
          <w:rFonts w:hint="eastAsia" w:asciiTheme="minorEastAsia" w:hAnsiTheme="minorEastAsia" w:eastAsiaTheme="minorEastAsia"/>
          <w:color w:val="000000"/>
          <w:sz w:val="21"/>
          <w:szCs w:val="21"/>
          <w:shd w:val="clear" w:color="auto" w:fill="FFFFFF"/>
        </w:rPr>
        <w:t>1）</w:t>
      </w:r>
      <w:r>
        <w:rPr>
          <w:rFonts w:asciiTheme="minorEastAsia" w:hAnsiTheme="minorEastAsia" w:eastAsiaTheme="minorEastAsia"/>
          <w:color w:val="000000"/>
          <w:sz w:val="21"/>
          <w:szCs w:val="21"/>
          <w:shd w:val="clear" w:color="auto" w:fill="FFFFFF"/>
        </w:rPr>
        <w:t>、计算机文化基础、高等数学</w:t>
      </w:r>
      <w:r>
        <w:rPr>
          <w:rFonts w:hint="eastAsia" w:asciiTheme="minorEastAsia" w:hAnsiTheme="minorEastAsia" w:eastAsiaTheme="minorEastAsia"/>
          <w:color w:val="000000"/>
          <w:sz w:val="21"/>
          <w:szCs w:val="21"/>
          <w:shd w:val="clear" w:color="auto" w:fill="FFFFFF"/>
        </w:rPr>
        <w:t>基础</w:t>
      </w:r>
      <w:r>
        <w:rPr>
          <w:rFonts w:asciiTheme="minorEastAsia" w:hAnsiTheme="minorEastAsia" w:eastAsiaTheme="minorEastAsia"/>
          <w:color w:val="000000"/>
          <w:sz w:val="21"/>
          <w:szCs w:val="21"/>
          <w:shd w:val="clear" w:color="auto" w:fill="FFFFFF"/>
        </w:rPr>
        <w:t>等</w:t>
      </w:r>
      <w:r>
        <w:rPr>
          <w:rFonts w:hint="eastAsia" w:asciiTheme="minorEastAsia" w:hAnsiTheme="minorEastAsia" w:eastAsiaTheme="minorEastAsia"/>
          <w:color w:val="000000"/>
          <w:sz w:val="21"/>
          <w:szCs w:val="21"/>
          <w:shd w:val="clear" w:color="auto" w:fill="FFFFFF"/>
        </w:rPr>
        <w:t>。同时</w:t>
      </w:r>
      <w:r>
        <w:rPr>
          <w:rFonts w:asciiTheme="minorEastAsia" w:hAnsiTheme="minorEastAsia" w:eastAsiaTheme="minorEastAsia"/>
          <w:color w:val="000000"/>
          <w:sz w:val="21"/>
          <w:szCs w:val="21"/>
          <w:shd w:val="clear" w:color="auto" w:fill="FFFFFF"/>
        </w:rPr>
        <w:t>积极进行第二学期课程的建设工作，</w:t>
      </w:r>
      <w:r>
        <w:rPr>
          <w:rFonts w:hint="eastAsia" w:asciiTheme="minorEastAsia" w:hAnsiTheme="minorEastAsia" w:eastAsiaTheme="minorEastAsia"/>
          <w:color w:val="000000"/>
          <w:sz w:val="21"/>
          <w:szCs w:val="21"/>
          <w:shd w:val="clear" w:color="auto" w:fill="FFFFFF"/>
        </w:rPr>
        <w:t>采取</w:t>
      </w:r>
      <w:r>
        <w:rPr>
          <w:rFonts w:asciiTheme="minorEastAsia" w:hAnsiTheme="minorEastAsia" w:eastAsiaTheme="minorEastAsia"/>
          <w:color w:val="000000"/>
          <w:sz w:val="21"/>
          <w:szCs w:val="21"/>
          <w:shd w:val="clear" w:color="auto" w:fill="FFFFFF"/>
        </w:rPr>
        <w:t>自建和引进普通高校教材的方式进行。</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fldChar w:fldCharType="begin"/>
      </w:r>
      <w:r>
        <w:rPr>
          <w:rFonts w:hint="eastAsia" w:asciiTheme="minorEastAsia" w:hAnsiTheme="minorEastAsia" w:eastAsiaTheme="minorEastAsia"/>
          <w:color w:val="000000"/>
          <w:sz w:val="21"/>
          <w:szCs w:val="21"/>
          <w:shd w:val="clear" w:color="auto" w:fill="FFFFFF"/>
        </w:rPr>
        <w:instrText xml:space="preserve">= 2 \* GB3</w:instrText>
      </w:r>
      <w:r>
        <w:rPr>
          <w:rFonts w:asciiTheme="minorEastAsia" w:hAnsiTheme="minorEastAsia" w:eastAsiaTheme="minorEastAsia"/>
          <w:color w:val="000000"/>
          <w:sz w:val="21"/>
          <w:szCs w:val="21"/>
          <w:shd w:val="clear" w:color="auto" w:fill="FFFFFF"/>
        </w:rPr>
        <w:fldChar w:fldCharType="separate"/>
      </w:r>
      <w:r>
        <w:rPr>
          <w:rFonts w:hint="eastAsia" w:asciiTheme="minorEastAsia" w:hAnsiTheme="minorEastAsia" w:eastAsiaTheme="minorEastAsia"/>
          <w:color w:val="000000"/>
          <w:sz w:val="21"/>
          <w:szCs w:val="21"/>
          <w:shd w:val="clear" w:color="auto" w:fill="FFFFFF"/>
        </w:rPr>
        <w:t>②</w:t>
      </w:r>
      <w:r>
        <w:rPr>
          <w:rFonts w:asciiTheme="minorEastAsia" w:hAnsiTheme="minorEastAsia" w:eastAsiaTheme="minorEastAsia"/>
          <w:color w:val="000000"/>
          <w:sz w:val="21"/>
          <w:szCs w:val="21"/>
          <w:shd w:val="clear" w:color="auto" w:fill="FFFFFF"/>
        </w:rPr>
        <w:fldChar w:fldCharType="end"/>
      </w:r>
      <w:r>
        <w:rPr>
          <w:rFonts w:hint="eastAsia" w:asciiTheme="minorEastAsia" w:hAnsiTheme="minorEastAsia" w:eastAsiaTheme="minorEastAsia"/>
          <w:color w:val="000000"/>
          <w:sz w:val="21"/>
          <w:szCs w:val="21"/>
          <w:shd w:val="clear" w:color="auto" w:fill="FFFFFF"/>
        </w:rPr>
        <w:t>网络资源</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在国家开放大学西安分部资源</w:t>
      </w:r>
      <w:r>
        <w:rPr>
          <w:rFonts w:asciiTheme="minorEastAsia" w:hAnsiTheme="minorEastAsia" w:eastAsiaTheme="minorEastAsia"/>
          <w:color w:val="000000"/>
          <w:sz w:val="21"/>
          <w:szCs w:val="21"/>
          <w:shd w:val="clear" w:color="auto" w:fill="FFFFFF"/>
        </w:rPr>
        <w:t>建设委员</w:t>
      </w:r>
      <w:r>
        <w:rPr>
          <w:rFonts w:hint="eastAsia" w:asciiTheme="minorEastAsia" w:hAnsiTheme="minorEastAsia" w:eastAsiaTheme="minorEastAsia"/>
          <w:color w:val="000000"/>
          <w:sz w:val="21"/>
          <w:szCs w:val="21"/>
          <w:shd w:val="clear" w:color="auto" w:fill="FFFFFF"/>
        </w:rPr>
        <w:t>会</w:t>
      </w:r>
      <w:r>
        <w:rPr>
          <w:rFonts w:asciiTheme="minorEastAsia" w:hAnsiTheme="minorEastAsia" w:eastAsiaTheme="minorEastAsia"/>
          <w:color w:val="000000"/>
          <w:sz w:val="21"/>
          <w:szCs w:val="21"/>
          <w:shd w:val="clear" w:color="auto" w:fill="FFFFFF"/>
        </w:rPr>
        <w:t>的总体</w:t>
      </w:r>
      <w:r>
        <w:rPr>
          <w:rFonts w:hint="eastAsia" w:asciiTheme="minorEastAsia" w:hAnsiTheme="minorEastAsia" w:eastAsiaTheme="minorEastAsia"/>
          <w:color w:val="000000"/>
          <w:sz w:val="21"/>
          <w:szCs w:val="21"/>
          <w:shd w:val="clear" w:color="auto" w:fill="FFFFFF"/>
        </w:rPr>
        <w:t>安排</w:t>
      </w:r>
      <w:r>
        <w:rPr>
          <w:rFonts w:asciiTheme="minorEastAsia" w:hAnsiTheme="minorEastAsia" w:eastAsiaTheme="minorEastAsia"/>
          <w:color w:val="000000"/>
          <w:sz w:val="21"/>
          <w:szCs w:val="21"/>
          <w:shd w:val="clear" w:color="auto" w:fill="FFFFFF"/>
        </w:rPr>
        <w:t>与</w:t>
      </w:r>
      <w:r>
        <w:rPr>
          <w:rFonts w:hint="eastAsia" w:asciiTheme="minorEastAsia" w:hAnsiTheme="minorEastAsia" w:eastAsiaTheme="minorEastAsia"/>
          <w:color w:val="000000"/>
          <w:sz w:val="21"/>
          <w:szCs w:val="21"/>
          <w:shd w:val="clear" w:color="auto" w:fill="FFFFFF"/>
        </w:rPr>
        <w:t>部署下</w:t>
      </w:r>
      <w:r>
        <w:rPr>
          <w:rFonts w:asciiTheme="minorEastAsia" w:hAnsiTheme="minorEastAsia" w:eastAsiaTheme="minorEastAsia"/>
          <w:color w:val="000000"/>
          <w:sz w:val="21"/>
          <w:szCs w:val="21"/>
          <w:shd w:val="clear" w:color="auto" w:fill="FFFFFF"/>
        </w:rPr>
        <w:t>，合理规划本专业的</w:t>
      </w:r>
      <w:r>
        <w:rPr>
          <w:rFonts w:hint="eastAsia" w:asciiTheme="minorEastAsia" w:hAnsiTheme="minorEastAsia" w:eastAsiaTheme="minorEastAsia"/>
          <w:color w:val="000000"/>
          <w:sz w:val="21"/>
          <w:szCs w:val="21"/>
          <w:shd w:val="clear" w:color="auto" w:fill="FFFFFF"/>
        </w:rPr>
        <w:t>资源</w:t>
      </w:r>
      <w:r>
        <w:rPr>
          <w:rFonts w:asciiTheme="minorEastAsia" w:hAnsiTheme="minorEastAsia" w:eastAsiaTheme="minorEastAsia"/>
          <w:color w:val="000000"/>
          <w:sz w:val="21"/>
          <w:szCs w:val="21"/>
          <w:shd w:val="clear" w:color="auto" w:fill="FFFFFF"/>
        </w:rPr>
        <w:t>建设任务，选择一门课程进行网络课程建设，同时聘请专家进行系统讲授视频的</w:t>
      </w:r>
      <w:r>
        <w:rPr>
          <w:rFonts w:hint="eastAsia" w:asciiTheme="minorEastAsia" w:hAnsiTheme="minorEastAsia" w:eastAsiaTheme="minorEastAsia"/>
          <w:color w:val="000000"/>
          <w:sz w:val="21"/>
          <w:szCs w:val="21"/>
          <w:shd w:val="clear" w:color="auto" w:fill="FFFFFF"/>
        </w:rPr>
        <w:t>录制</w:t>
      </w:r>
      <w:r>
        <w:rPr>
          <w:rFonts w:asciiTheme="minorEastAsia" w:hAnsiTheme="minorEastAsia" w:eastAsiaTheme="minorEastAsia"/>
          <w:color w:val="000000"/>
          <w:sz w:val="21"/>
          <w:szCs w:val="21"/>
          <w:shd w:val="clear" w:color="auto" w:fill="FFFFFF"/>
        </w:rPr>
        <w:t>。</w:t>
      </w:r>
      <w:r>
        <w:rPr>
          <w:rFonts w:hint="eastAsia" w:asciiTheme="minorEastAsia" w:hAnsiTheme="minorEastAsia" w:eastAsiaTheme="minorEastAsia"/>
          <w:color w:val="000000"/>
          <w:sz w:val="21"/>
          <w:szCs w:val="21"/>
          <w:shd w:val="clear" w:color="auto" w:fill="FFFFFF"/>
        </w:rPr>
        <w:t>专职</w:t>
      </w:r>
      <w:r>
        <w:rPr>
          <w:rFonts w:asciiTheme="minorEastAsia" w:hAnsiTheme="minorEastAsia" w:eastAsiaTheme="minorEastAsia"/>
          <w:color w:val="000000"/>
          <w:sz w:val="21"/>
          <w:szCs w:val="21"/>
          <w:shd w:val="clear" w:color="auto" w:fill="FFFFFF"/>
        </w:rPr>
        <w:t>教师</w:t>
      </w:r>
      <w:r>
        <w:rPr>
          <w:rFonts w:hint="eastAsia" w:asciiTheme="minorEastAsia" w:hAnsiTheme="minorEastAsia" w:eastAsiaTheme="minorEastAsia"/>
          <w:color w:val="000000"/>
          <w:sz w:val="21"/>
          <w:szCs w:val="21"/>
          <w:shd w:val="clear" w:color="auto" w:fill="FFFFFF"/>
        </w:rPr>
        <w:t>进行</w:t>
      </w:r>
      <w:r>
        <w:rPr>
          <w:rFonts w:asciiTheme="minorEastAsia" w:hAnsiTheme="minorEastAsia" w:eastAsiaTheme="minorEastAsia"/>
          <w:color w:val="000000"/>
          <w:sz w:val="21"/>
          <w:szCs w:val="21"/>
          <w:shd w:val="clear" w:color="auto" w:fill="FFFFFF"/>
        </w:rPr>
        <w:t>微课程</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专题讲座等多形式的教学资源。</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（4）实践条件</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fldChar w:fldCharType="begin"/>
      </w:r>
      <w:r>
        <w:rPr>
          <w:rFonts w:hint="eastAsia" w:asciiTheme="minorEastAsia" w:hAnsiTheme="minorEastAsia" w:eastAsiaTheme="minorEastAsia"/>
          <w:color w:val="000000"/>
          <w:sz w:val="21"/>
          <w:szCs w:val="21"/>
          <w:shd w:val="clear" w:color="auto" w:fill="FFFFFF"/>
        </w:rPr>
        <w:instrText xml:space="preserve">= 1 \* GB3</w:instrText>
      </w:r>
      <w:r>
        <w:rPr>
          <w:rFonts w:asciiTheme="minorEastAsia" w:hAnsiTheme="minorEastAsia" w:eastAsiaTheme="minorEastAsia"/>
          <w:color w:val="000000"/>
          <w:sz w:val="21"/>
          <w:szCs w:val="21"/>
          <w:shd w:val="clear" w:color="auto" w:fill="FFFFFF"/>
        </w:rPr>
        <w:fldChar w:fldCharType="separate"/>
      </w:r>
      <w:r>
        <w:rPr>
          <w:rFonts w:hint="eastAsia" w:asciiTheme="minorEastAsia" w:hAnsiTheme="minorEastAsia" w:eastAsiaTheme="minorEastAsia"/>
          <w:color w:val="000000"/>
          <w:sz w:val="21"/>
          <w:szCs w:val="21"/>
          <w:shd w:val="clear" w:color="auto" w:fill="FFFFFF"/>
        </w:rPr>
        <w:t>①</w:t>
      </w:r>
      <w:r>
        <w:rPr>
          <w:rFonts w:asciiTheme="minorEastAsia" w:hAnsiTheme="minorEastAsia" w:eastAsiaTheme="minorEastAsia"/>
          <w:color w:val="000000"/>
          <w:sz w:val="21"/>
          <w:szCs w:val="21"/>
          <w:shd w:val="clear" w:color="auto" w:fill="FFFFFF"/>
        </w:rPr>
        <w:fldChar w:fldCharType="end"/>
      </w:r>
      <w:r>
        <w:rPr>
          <w:rFonts w:hint="eastAsia" w:asciiTheme="minorEastAsia" w:hAnsiTheme="minorEastAsia" w:eastAsiaTheme="minorEastAsia"/>
          <w:color w:val="000000"/>
          <w:sz w:val="21"/>
          <w:szCs w:val="21"/>
          <w:shd w:val="clear" w:color="auto" w:fill="FFFFFF"/>
        </w:rPr>
        <w:t>校内实训条件</w:t>
      </w:r>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国家开放大学西安分部依托西安建筑</w:t>
      </w:r>
      <w:r>
        <w:rPr>
          <w:rFonts w:asciiTheme="minorEastAsia" w:hAnsiTheme="minorEastAsia" w:eastAsiaTheme="minorEastAsia"/>
          <w:color w:val="000000"/>
          <w:sz w:val="21"/>
          <w:szCs w:val="21"/>
          <w:shd w:val="clear" w:color="auto" w:fill="FFFFFF"/>
        </w:rPr>
        <w:t>科技大学的安全工程专业实验室</w:t>
      </w:r>
      <w:r>
        <w:rPr>
          <w:rFonts w:hint="eastAsia" w:asciiTheme="minorEastAsia" w:hAnsiTheme="minorEastAsia" w:eastAsiaTheme="minorEastAsia"/>
          <w:color w:val="000000"/>
          <w:sz w:val="21"/>
          <w:szCs w:val="21"/>
          <w:shd w:val="clear" w:color="auto" w:fill="FFFFFF"/>
        </w:rPr>
        <w:t>进行</w:t>
      </w:r>
      <w:r>
        <w:rPr>
          <w:rFonts w:asciiTheme="minorEastAsia" w:hAnsiTheme="minorEastAsia" w:eastAsiaTheme="minorEastAsia"/>
          <w:color w:val="000000"/>
          <w:sz w:val="21"/>
          <w:szCs w:val="21"/>
          <w:shd w:val="clear" w:color="auto" w:fill="FFFFFF"/>
        </w:rPr>
        <w:t>。西安</w:t>
      </w:r>
      <w:r>
        <w:rPr>
          <w:rFonts w:hint="eastAsia" w:asciiTheme="minorEastAsia" w:hAnsiTheme="minorEastAsia" w:eastAsiaTheme="minorEastAsia"/>
          <w:color w:val="000000"/>
          <w:sz w:val="21"/>
          <w:szCs w:val="21"/>
          <w:shd w:val="clear" w:color="auto" w:fill="FFFFFF"/>
        </w:rPr>
        <w:t>建筑</w:t>
      </w:r>
      <w:r>
        <w:rPr>
          <w:rFonts w:asciiTheme="minorEastAsia" w:hAnsiTheme="minorEastAsia" w:eastAsiaTheme="minorEastAsia"/>
          <w:color w:val="000000"/>
          <w:sz w:val="21"/>
          <w:szCs w:val="21"/>
          <w:shd w:val="clear" w:color="auto" w:fill="FFFFFF"/>
        </w:rPr>
        <w:t>科技大学安全工程专业实验室-安全技术及工程博士点实验室现有科研人员 18 人，其中副教授以上职称 7 人，博士及在职博士 12 人，人才结构合理，队伍年富力强。拥有具国际水平的高层建筑及地下结构火灾扑救系统研发基地，国内最大的煤自然发火试验台，已获国家专利的系列防灭火材料及其相关设备，以及国外进口的技术含量较高的现代化测试仪器。现有安全技术和矿山应用技术两个研究所，一个科技成果产业化公司。</w:t>
      </w:r>
    </w:p>
    <w:p>
      <w:pPr>
        <w:adjustRightInd w:val="0"/>
        <w:snapToGrid w:val="0"/>
        <w:ind w:firstLine="420"/>
        <w:rPr>
          <w:rFonts w:asciiTheme="minorEastAsia" w:hAnsiTheme="minorEastAsia" w:eastAsiaTheme="minorEastAsia"/>
          <w:color w:val="000000"/>
          <w:sz w:val="21"/>
          <w:szCs w:val="21"/>
          <w:shd w:val="clear" w:color="auto" w:fill="FFFFFF"/>
        </w:rPr>
      </w:pPr>
      <w:r>
        <w:rPr>
          <w:rFonts w:asciiTheme="minorEastAsia" w:hAnsiTheme="minorEastAsia" w:eastAsiaTheme="minorEastAsia"/>
          <w:color w:val="000000"/>
          <w:sz w:val="21"/>
          <w:szCs w:val="21"/>
          <w:shd w:val="clear" w:color="auto" w:fill="FFFFFF"/>
        </w:rPr>
        <w:t>实验室形成了安全理论与计算机技术、矿山自燃灾害、气体（粉尘）爆炸控制、建筑火灾、复杂系统的安全管理等研究方向，并在矿山自燃灾害、安全理论与计算机技术、建筑火灾等领域的研究处于国内领先或前沿水平。</w:t>
      </w:r>
      <w:r>
        <w:rPr>
          <w:rFonts w:hint="eastAsia" w:asciiTheme="minorEastAsia" w:hAnsiTheme="minorEastAsia" w:eastAsiaTheme="minorEastAsia"/>
          <w:color w:val="000000"/>
          <w:sz w:val="21"/>
          <w:szCs w:val="21"/>
          <w:shd w:val="clear" w:color="auto" w:fill="FFFFFF"/>
        </w:rPr>
        <w:t>详见“《</w:t>
      </w:r>
      <w:r>
        <w:rPr>
          <w:rFonts w:asciiTheme="minorEastAsia" w:hAnsiTheme="minorEastAsia" w:eastAsiaTheme="minorEastAsia"/>
          <w:color w:val="000000"/>
          <w:sz w:val="21"/>
          <w:szCs w:val="21"/>
          <w:shd w:val="clear" w:color="auto" w:fill="FFFFFF"/>
        </w:rPr>
        <w:t>安全技术与管理》（专科）</w:t>
      </w:r>
      <w:r>
        <w:rPr>
          <w:rFonts w:hint="eastAsia" w:asciiTheme="minorEastAsia" w:hAnsiTheme="minorEastAsia" w:eastAsiaTheme="minorEastAsia"/>
          <w:color w:val="000000"/>
          <w:sz w:val="21"/>
          <w:szCs w:val="21"/>
          <w:shd w:val="clear" w:color="auto" w:fill="FFFFFF"/>
        </w:rPr>
        <w:t>专业实训、实习仪器设备图片”</w:t>
      </w:r>
      <w:r>
        <w:rPr>
          <w:rFonts w:asciiTheme="minorEastAsia" w:hAnsiTheme="minorEastAsia" w:eastAsiaTheme="minorEastAsia"/>
          <w:color w:val="000000"/>
          <w:sz w:val="21"/>
          <w:szCs w:val="21"/>
          <w:shd w:val="clear" w:color="auto" w:fill="FFFFFF"/>
        </w:rPr>
        <w:t>。</w:t>
      </w:r>
    </w:p>
    <w:p>
      <w:pPr>
        <w:adjustRightInd w:val="0"/>
        <w:snapToGrid w:val="0"/>
        <w:ind w:firstLine="0" w:firstLineChars="0"/>
        <w:jc w:val="center"/>
        <w:rPr>
          <w:rFonts w:asciiTheme="minorEastAsia" w:hAnsiTheme="minorEastAsia" w:eastAsiaTheme="minorEastAsia"/>
          <w:color w:val="000000" w:themeColor="text1"/>
          <w:sz w:val="21"/>
          <w:szCs w:val="21"/>
        </w:rPr>
      </w:pPr>
      <w:r>
        <w:rPr>
          <w:rFonts w:hint="eastAsia" w:cs="Arial" w:asciiTheme="minorEastAsia" w:hAnsiTheme="minorEastAsia" w:eastAsiaTheme="minorEastAsia"/>
          <w:b/>
          <w:sz w:val="21"/>
          <w:szCs w:val="21"/>
        </w:rPr>
        <w:t>《</w:t>
      </w:r>
      <w:r>
        <w:rPr>
          <w:rFonts w:cs="Arial" w:asciiTheme="minorEastAsia" w:hAnsiTheme="minorEastAsia" w:eastAsiaTheme="minorEastAsia"/>
          <w:b/>
          <w:sz w:val="21"/>
          <w:szCs w:val="21"/>
        </w:rPr>
        <w:t>安全技术与管理》（专科）</w:t>
      </w:r>
      <w:r>
        <w:rPr>
          <w:rFonts w:hint="eastAsia" w:cs="Arial" w:asciiTheme="minorEastAsia" w:hAnsiTheme="minorEastAsia" w:eastAsiaTheme="minorEastAsia"/>
          <w:b/>
          <w:sz w:val="21"/>
          <w:szCs w:val="21"/>
        </w:rPr>
        <w:t>专业实训、实习仪器设备图片</w:t>
      </w:r>
    </w:p>
    <w:tbl>
      <w:tblPr>
        <w:tblStyle w:val="17"/>
        <w:tblpPr w:leftFromText="180" w:rightFromText="180" w:vertAnchor="text" w:tblpY="1"/>
        <w:tblOverlap w:val="never"/>
        <w:tblW w:w="88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26" w:type="dxa"/>
          </w:tcPr>
          <w:p>
            <w:pPr>
              <w:adjustRightInd w:val="0"/>
              <w:snapToGrid w:val="0"/>
              <w:ind w:firstLine="0" w:firstLineChars="0"/>
              <w:rPr>
                <w:rFonts w:asciiTheme="minorEastAsia" w:hAnsiTheme="minorEastAsia" w:eastAsiaTheme="minorEastAsia"/>
                <w:kern w:val="0"/>
                <w:sz w:val="21"/>
                <w:szCs w:val="21"/>
              </w:rPr>
            </w:pPr>
          </w:p>
          <w:p>
            <w:pPr>
              <w:adjustRightInd w:val="0"/>
              <w:snapToGrid w:val="0"/>
              <w:ind w:firstLine="0" w:firstLineChars="0"/>
              <w:rPr>
                <w:rFonts w:asciiTheme="minorEastAsia" w:hAnsiTheme="minorEastAsia" w:eastAsiaTheme="minorEastAsia"/>
                <w:color w:val="000000" w:themeColor="text1"/>
                <w:kern w:val="0"/>
                <w:sz w:val="21"/>
                <w:szCs w:val="21"/>
              </w:rPr>
            </w:pPr>
            <w:r>
              <w:rPr>
                <w:rFonts w:asciiTheme="minorEastAsia" w:hAnsiTheme="minorEastAsia" w:eastAsiaTheme="minorEastAsia"/>
                <w:kern w:val="0"/>
                <w:sz w:val="21"/>
                <w:szCs w:val="21"/>
              </w:rPr>
              <w:drawing>
                <wp:anchor distT="0" distB="0" distL="114300" distR="114300" simplePos="0" relativeHeight="251661312" behindDoc="0" locked="0" layoutInCell="1" allowOverlap="1">
                  <wp:simplePos x="0" y="0"/>
                  <wp:positionH relativeFrom="margin">
                    <wp:posOffset>704850</wp:posOffset>
                  </wp:positionH>
                  <wp:positionV relativeFrom="margin">
                    <wp:posOffset>71120</wp:posOffset>
                  </wp:positionV>
                  <wp:extent cx="4600575" cy="3216910"/>
                  <wp:effectExtent l="0" t="0" r="9525" b="2540"/>
                  <wp:wrapSquare wrapText="bothSides"/>
                  <wp:docPr id="3" name="图片 3" descr="http://www.shylzz.com/uploadfile/20140415104646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www.shylzz.com/uploadfile/2014041510464664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600575" cy="321691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26" w:type="dxa"/>
          </w:tcPr>
          <w:p>
            <w:pPr>
              <w:adjustRightInd w:val="0"/>
              <w:snapToGrid w:val="0"/>
              <w:ind w:firstLine="0" w:firstLineChars="0"/>
              <w:jc w:val="center"/>
              <w:rPr>
                <w:rFonts w:asciiTheme="minorEastAsia" w:hAnsiTheme="minorEastAsia" w:eastAsiaTheme="minorEastAsia"/>
                <w:color w:val="000000" w:themeColor="text1"/>
                <w:kern w:val="0"/>
                <w:sz w:val="21"/>
                <w:szCs w:val="21"/>
              </w:rPr>
            </w:pPr>
            <w:r>
              <w:rPr>
                <w:rFonts w:hint="eastAsia" w:asciiTheme="minorEastAsia" w:hAnsiTheme="minorEastAsia" w:eastAsiaTheme="minorEastAsia"/>
                <w:color w:val="000000" w:themeColor="text1"/>
                <w:kern w:val="0"/>
                <w:sz w:val="21"/>
                <w:szCs w:val="21"/>
              </w:rPr>
              <w:t>电气安全试验设备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26" w:type="dxa"/>
          </w:tcPr>
          <w:p>
            <w:pPr>
              <w:adjustRightInd w:val="0"/>
              <w:snapToGrid w:val="0"/>
              <w:ind w:firstLine="0" w:firstLineChars="0"/>
              <w:jc w:val="center"/>
              <w:rPr>
                <w:rFonts w:asciiTheme="minorEastAsia" w:hAnsiTheme="minorEastAsia" w:eastAsiaTheme="minorEastAsia"/>
                <w:color w:val="000000" w:themeColor="text1"/>
                <w:kern w:val="0"/>
                <w:sz w:val="21"/>
                <w:szCs w:val="21"/>
              </w:rPr>
            </w:pPr>
            <w:r>
              <w:rPr>
                <w:rFonts w:asciiTheme="minorEastAsia" w:hAnsiTheme="minorEastAsia" w:eastAsiaTheme="minorEastAsia"/>
                <w:kern w:val="0"/>
                <w:sz w:val="21"/>
                <w:szCs w:val="21"/>
              </w:rPr>
              <w:drawing>
                <wp:anchor distT="0" distB="0" distL="114300" distR="114300" simplePos="0" relativeHeight="251660288" behindDoc="0" locked="0" layoutInCell="1" allowOverlap="1">
                  <wp:simplePos x="0" y="0"/>
                  <wp:positionH relativeFrom="margin">
                    <wp:posOffset>1076325</wp:posOffset>
                  </wp:positionH>
                  <wp:positionV relativeFrom="margin">
                    <wp:posOffset>276225</wp:posOffset>
                  </wp:positionV>
                  <wp:extent cx="5334000" cy="4124325"/>
                  <wp:effectExtent l="0" t="0" r="0" b="9525"/>
                  <wp:wrapSquare wrapText="bothSides"/>
                  <wp:docPr id="2" name="图片 2" descr="http://image.cn.made-in-china.com/prodzip/000-CewEsTNhGOq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image.cn.made-in-china.com/prodzip/000-CewEsTNhGOq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334000" cy="412432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826" w:type="dxa"/>
          </w:tcPr>
          <w:p>
            <w:pPr>
              <w:adjustRightInd w:val="0"/>
              <w:snapToGrid w:val="0"/>
              <w:ind w:firstLine="0" w:firstLineChars="0"/>
              <w:jc w:val="center"/>
              <w:rPr>
                <w:rFonts w:asciiTheme="minorEastAsia" w:hAnsiTheme="minorEastAsia" w:eastAsiaTheme="minorEastAsia"/>
                <w:color w:val="000000" w:themeColor="text1"/>
                <w:kern w:val="0"/>
                <w:sz w:val="21"/>
                <w:szCs w:val="21"/>
              </w:rPr>
            </w:pPr>
            <w:r>
              <w:rPr>
                <w:rFonts w:hint="eastAsia" w:asciiTheme="minorEastAsia" w:hAnsiTheme="minorEastAsia" w:eastAsiaTheme="minorEastAsia"/>
                <w:color w:val="000000" w:themeColor="text1"/>
                <w:kern w:val="0"/>
                <w:sz w:val="21"/>
                <w:szCs w:val="21"/>
              </w:rPr>
              <w:t>防火防爆</w:t>
            </w:r>
            <w:r>
              <w:rPr>
                <w:rFonts w:asciiTheme="minorEastAsia" w:hAnsiTheme="minorEastAsia" w:eastAsiaTheme="minorEastAsia"/>
                <w:color w:val="000000" w:themeColor="text1"/>
                <w:kern w:val="0"/>
                <w:sz w:val="21"/>
                <w:szCs w:val="21"/>
              </w:rPr>
              <w:t>实验设备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26" w:type="dxa"/>
          </w:tcPr>
          <w:p>
            <w:pPr>
              <w:adjustRightInd w:val="0"/>
              <w:snapToGrid w:val="0"/>
              <w:ind w:firstLine="0" w:firstLineChars="0"/>
              <w:jc w:val="center"/>
              <w:rPr>
                <w:rFonts w:asciiTheme="minorEastAsia" w:hAnsiTheme="minorEastAsia" w:eastAsiaTheme="minorEastAsia"/>
                <w:color w:val="000000" w:themeColor="text1"/>
                <w:kern w:val="0"/>
                <w:sz w:val="21"/>
                <w:szCs w:val="21"/>
              </w:rPr>
            </w:pPr>
            <w:r>
              <w:rPr>
                <w:rFonts w:asciiTheme="minorEastAsia" w:hAnsiTheme="minorEastAsia" w:eastAsiaTheme="minorEastAsia"/>
                <w:kern w:val="0"/>
                <w:sz w:val="21"/>
                <w:szCs w:val="21"/>
              </w:rPr>
              <w:drawing>
                <wp:anchor distT="0" distB="0" distL="114300" distR="114300" simplePos="0" relativeHeight="251662336" behindDoc="0" locked="0" layoutInCell="1" allowOverlap="1">
                  <wp:simplePos x="0" y="0"/>
                  <wp:positionH relativeFrom="margin">
                    <wp:posOffset>55880</wp:posOffset>
                  </wp:positionH>
                  <wp:positionV relativeFrom="margin">
                    <wp:posOffset>4445</wp:posOffset>
                  </wp:positionV>
                  <wp:extent cx="5457825" cy="4093210"/>
                  <wp:effectExtent l="0" t="0" r="9525" b="2540"/>
                  <wp:wrapSquare wrapText="bothSides"/>
                  <wp:docPr id="4" name="图片 4" descr="http://img.itc.cn/photo/o50Q642GE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img.itc.cn/photo/o50Q642GEM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457825" cy="4093210"/>
                          </a:xfrm>
                          <a:prstGeom prst="rect">
                            <a:avLst/>
                          </a:prstGeom>
                          <a:noFill/>
                          <a:ln>
                            <a:noFill/>
                          </a:ln>
                        </pic:spPr>
                      </pic:pic>
                    </a:graphicData>
                  </a:graphic>
                </wp:anchor>
              </w:drawing>
            </w:r>
            <w:r>
              <w:rPr>
                <w:rFonts w:hint="eastAsia" w:asciiTheme="minorEastAsia" w:hAnsiTheme="minorEastAsia" w:eastAsiaTheme="minorEastAsia"/>
                <w:color w:val="000000" w:themeColor="text1"/>
                <w:kern w:val="0"/>
                <w:sz w:val="21"/>
                <w:szCs w:val="21"/>
              </w:rPr>
              <w:t>职业</w:t>
            </w:r>
            <w:r>
              <w:rPr>
                <w:rFonts w:asciiTheme="minorEastAsia" w:hAnsiTheme="minorEastAsia" w:eastAsiaTheme="minorEastAsia"/>
                <w:color w:val="000000" w:themeColor="text1"/>
                <w:kern w:val="0"/>
                <w:sz w:val="21"/>
                <w:szCs w:val="21"/>
              </w:rPr>
              <w:t>卫生实验设备</w:t>
            </w:r>
          </w:p>
        </w:tc>
      </w:tr>
    </w:tbl>
    <w:p>
      <w:pPr>
        <w:adjustRightInd w:val="0"/>
        <w:snapToGrid w:val="0"/>
        <w:ind w:firstLine="0" w:firstLineChars="0"/>
        <w:rPr>
          <w:rFonts w:asciiTheme="minorEastAsia" w:hAnsiTheme="minorEastAsia" w:eastAsiaTheme="minorEastAsia"/>
          <w:b/>
          <w:color w:val="000000" w:themeColor="text1"/>
          <w:sz w:val="21"/>
          <w:szCs w:val="21"/>
        </w:rPr>
      </w:pPr>
    </w:p>
    <w:p>
      <w:pPr>
        <w:adjustRightInd w:val="0"/>
        <w:snapToGrid w:val="0"/>
        <w:ind w:firstLine="422"/>
        <w:rPr>
          <w:rFonts w:asciiTheme="minorEastAsia" w:hAnsiTheme="minorEastAsia" w:eastAsiaTheme="minorEastAsia"/>
          <w:b/>
          <w:color w:val="000000" w:themeColor="text1"/>
          <w:sz w:val="21"/>
          <w:szCs w:val="21"/>
        </w:rPr>
      </w:pPr>
      <w:r>
        <w:rPr>
          <w:rFonts w:asciiTheme="minorEastAsia" w:hAnsiTheme="minorEastAsia" w:eastAsiaTheme="minorEastAsia"/>
          <w:b/>
          <w:color w:val="000000" w:themeColor="text1"/>
          <w:sz w:val="21"/>
          <w:szCs w:val="21"/>
        </w:rPr>
        <w:fldChar w:fldCharType="begin"/>
      </w:r>
      <w:r>
        <w:rPr>
          <w:rFonts w:hint="eastAsia" w:asciiTheme="minorEastAsia" w:hAnsiTheme="minorEastAsia" w:eastAsiaTheme="minorEastAsia"/>
          <w:b/>
          <w:color w:val="000000" w:themeColor="text1"/>
          <w:sz w:val="21"/>
          <w:szCs w:val="21"/>
        </w:rPr>
        <w:instrText xml:space="preserve">= 2 \* GB3</w:instrText>
      </w:r>
      <w:r>
        <w:rPr>
          <w:rFonts w:asciiTheme="minorEastAsia" w:hAnsiTheme="minorEastAsia" w:eastAsiaTheme="minorEastAsia"/>
          <w:b/>
          <w:color w:val="000000" w:themeColor="text1"/>
          <w:sz w:val="21"/>
          <w:szCs w:val="21"/>
        </w:rPr>
        <w:fldChar w:fldCharType="separate"/>
      </w:r>
      <w:r>
        <w:rPr>
          <w:rFonts w:hint="eastAsia" w:asciiTheme="minorEastAsia" w:hAnsiTheme="minorEastAsia" w:eastAsiaTheme="minorEastAsia"/>
          <w:b/>
          <w:color w:val="000000" w:themeColor="text1"/>
          <w:sz w:val="21"/>
          <w:szCs w:val="21"/>
        </w:rPr>
        <w:t>②</w:t>
      </w:r>
      <w:r>
        <w:rPr>
          <w:rFonts w:asciiTheme="minorEastAsia" w:hAnsiTheme="minorEastAsia" w:eastAsiaTheme="minorEastAsia"/>
          <w:b/>
          <w:color w:val="000000" w:themeColor="text1"/>
          <w:sz w:val="21"/>
          <w:szCs w:val="21"/>
        </w:rPr>
        <w:fldChar w:fldCharType="end"/>
      </w:r>
      <w:r>
        <w:rPr>
          <w:rFonts w:hint="eastAsia" w:asciiTheme="minorEastAsia" w:hAnsiTheme="minorEastAsia" w:eastAsiaTheme="minorEastAsia"/>
          <w:b/>
          <w:color w:val="000000" w:themeColor="text1"/>
          <w:sz w:val="21"/>
          <w:szCs w:val="21"/>
        </w:rPr>
        <w:t>校外实训场所（实习基地）</w:t>
      </w:r>
    </w:p>
    <w:p>
      <w:pPr>
        <w:ind w:firstLine="420"/>
        <w:jc w:val="left"/>
        <w:rPr>
          <w:rFonts w:asciiTheme="minorEastAsia" w:hAnsiTheme="minorEastAsia" w:eastAsiaTheme="minorEastAsia"/>
          <w:b/>
          <w:sz w:val="21"/>
          <w:szCs w:val="21"/>
        </w:rPr>
      </w:pPr>
      <w:r>
        <w:rPr>
          <w:rFonts w:hint="eastAsia" w:asciiTheme="minorEastAsia" w:hAnsiTheme="minorEastAsia" w:eastAsiaTheme="minorEastAsia"/>
          <w:sz w:val="21"/>
          <w:szCs w:val="21"/>
        </w:rPr>
        <w:t>国家开放大学西安分部已与多家单位签订了校外实习基地协议，为学生提供专业教学实训条件，切实保证学生能够在单位顶岗实习。</w:t>
      </w:r>
    </w:p>
    <w:p>
      <w:pPr>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目前已确定的第一批校外实践基地名单，</w:t>
      </w:r>
      <w:r>
        <w:rPr>
          <w:rFonts w:asciiTheme="minorEastAsia" w:hAnsiTheme="minorEastAsia" w:eastAsiaTheme="minorEastAsia"/>
          <w:sz w:val="21"/>
          <w:szCs w:val="21"/>
        </w:rPr>
        <w:t>详见</w:t>
      </w:r>
      <w:r>
        <w:rPr>
          <w:rFonts w:hint="eastAsia" w:asciiTheme="minorEastAsia" w:hAnsiTheme="minorEastAsia" w:eastAsiaTheme="minorEastAsia"/>
          <w:sz w:val="21"/>
          <w:szCs w:val="21"/>
        </w:rPr>
        <w:t>“</w:t>
      </w:r>
      <w:r>
        <w:rPr>
          <w:rFonts w:asciiTheme="minorEastAsia" w:hAnsiTheme="minorEastAsia" w:eastAsiaTheme="minorEastAsia"/>
          <w:sz w:val="21"/>
          <w:szCs w:val="21"/>
        </w:rPr>
        <w:t>表2 校外实践基地名单”</w:t>
      </w:r>
    </w:p>
    <w:p>
      <w:pPr>
        <w:ind w:firstLine="422"/>
        <w:jc w:val="center"/>
        <w:rPr>
          <w:rFonts w:asciiTheme="minorEastAsia" w:hAnsiTheme="minorEastAsia" w:eastAsiaTheme="minorEastAsia"/>
          <w:b/>
          <w:sz w:val="21"/>
          <w:szCs w:val="21"/>
        </w:rPr>
      </w:pPr>
      <w:r>
        <w:rPr>
          <w:rFonts w:asciiTheme="minorEastAsia" w:hAnsiTheme="minorEastAsia" w:eastAsiaTheme="minorEastAsia"/>
          <w:b/>
          <w:sz w:val="21"/>
          <w:szCs w:val="21"/>
        </w:rPr>
        <w:t xml:space="preserve">表2 </w:t>
      </w:r>
      <w:r>
        <w:rPr>
          <w:rFonts w:hint="eastAsia" w:asciiTheme="minorEastAsia" w:hAnsiTheme="minorEastAsia" w:eastAsiaTheme="minorEastAsia"/>
          <w:b/>
          <w:sz w:val="21"/>
          <w:szCs w:val="21"/>
        </w:rPr>
        <w:t>校外</w:t>
      </w:r>
      <w:r>
        <w:rPr>
          <w:rFonts w:asciiTheme="minorEastAsia" w:hAnsiTheme="minorEastAsia" w:eastAsiaTheme="minorEastAsia"/>
          <w:b/>
          <w:sz w:val="21"/>
          <w:szCs w:val="21"/>
        </w:rPr>
        <w:t>实践基地名单</w:t>
      </w:r>
    </w:p>
    <w:tbl>
      <w:tblPr>
        <w:tblStyle w:val="16"/>
        <w:tblW w:w="4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17" w:type="dxa"/>
            <w:vAlign w:val="center"/>
          </w:tcPr>
          <w:p>
            <w:pPr>
              <w:ind w:firstLine="0" w:firstLineChars="0"/>
              <w:rPr>
                <w:rFonts w:asciiTheme="minorEastAsia" w:hAnsiTheme="minorEastAsia" w:eastAsiaTheme="minorEastAsia"/>
                <w:b/>
                <w:color w:val="000000" w:themeColor="text1"/>
                <w:sz w:val="21"/>
                <w:szCs w:val="21"/>
              </w:rPr>
            </w:pPr>
            <w:r>
              <w:rPr>
                <w:rFonts w:hint="eastAsia" w:asciiTheme="minorEastAsia" w:hAnsiTheme="minorEastAsia" w:eastAsiaTheme="minorEastAsia"/>
                <w:b/>
                <w:color w:val="000000" w:themeColor="text1"/>
                <w:sz w:val="21"/>
                <w:szCs w:val="21"/>
              </w:rPr>
              <w:t>序号</w:t>
            </w:r>
          </w:p>
        </w:tc>
        <w:tc>
          <w:tcPr>
            <w:tcW w:w="4082" w:type="dxa"/>
            <w:vAlign w:val="center"/>
          </w:tcPr>
          <w:p>
            <w:pPr>
              <w:ind w:firstLine="0" w:firstLineChars="0"/>
              <w:jc w:val="center"/>
              <w:rPr>
                <w:rFonts w:asciiTheme="minorEastAsia" w:hAnsiTheme="minorEastAsia" w:eastAsiaTheme="minorEastAsia"/>
                <w:b/>
                <w:color w:val="000000" w:themeColor="text1"/>
                <w:sz w:val="21"/>
                <w:szCs w:val="21"/>
              </w:rPr>
            </w:pPr>
            <w:r>
              <w:rPr>
                <w:rFonts w:hint="eastAsia" w:asciiTheme="minorEastAsia" w:hAnsiTheme="minorEastAsia" w:eastAsiaTheme="minorEastAsia"/>
                <w:b/>
                <w:color w:val="000000" w:themeColor="text1"/>
                <w:sz w:val="21"/>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17" w:type="dxa"/>
            <w:vAlign w:val="center"/>
          </w:tcPr>
          <w:p>
            <w:pPr>
              <w:ind w:firstLine="0" w:firstLineChars="0"/>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1</w:t>
            </w:r>
          </w:p>
        </w:tc>
        <w:tc>
          <w:tcPr>
            <w:tcW w:w="4082" w:type="dxa"/>
            <w:vAlign w:val="center"/>
          </w:tcPr>
          <w:p>
            <w:pPr>
              <w:ind w:firstLine="0" w:firstLineChars="0"/>
              <w:jc w:val="center"/>
              <w:rPr>
                <w:rFonts w:asciiTheme="minorEastAsia" w:hAnsiTheme="minorEastAsia" w:eastAsiaTheme="minorEastAsia"/>
                <w:color w:val="000000" w:themeColor="text1"/>
                <w:sz w:val="21"/>
                <w:szCs w:val="21"/>
              </w:rPr>
            </w:pPr>
            <w:r>
              <w:rPr>
                <w:rFonts w:asciiTheme="minorEastAsia" w:hAnsiTheme="minorEastAsia" w:eastAsiaTheme="minorEastAsia"/>
                <w:color w:val="000000" w:themeColor="text1"/>
                <w:sz w:val="21"/>
                <w:szCs w:val="21"/>
              </w:rPr>
              <w:t>西安建筑科技大学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7" w:type="dxa"/>
            <w:vAlign w:val="center"/>
          </w:tcPr>
          <w:p>
            <w:pPr>
              <w:ind w:firstLine="0" w:firstLineChars="0"/>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2</w:t>
            </w:r>
          </w:p>
        </w:tc>
        <w:tc>
          <w:tcPr>
            <w:tcW w:w="4082" w:type="dxa"/>
            <w:vAlign w:val="center"/>
          </w:tcPr>
          <w:p>
            <w:pPr>
              <w:ind w:firstLine="0" w:firstLineChars="0"/>
              <w:jc w:val="center"/>
              <w:rPr>
                <w:rFonts w:asciiTheme="minorEastAsia" w:hAnsiTheme="minorEastAsia" w:eastAsiaTheme="minorEastAsia"/>
                <w:color w:val="000000" w:themeColor="text1"/>
                <w:sz w:val="21"/>
                <w:szCs w:val="21"/>
              </w:rPr>
            </w:pPr>
            <w:r>
              <w:rPr>
                <w:rFonts w:asciiTheme="minorEastAsia" w:hAnsiTheme="minorEastAsia" w:eastAsiaTheme="minorEastAsia"/>
                <w:color w:val="000000" w:themeColor="text1"/>
                <w:sz w:val="21"/>
                <w:szCs w:val="21"/>
              </w:rPr>
              <w:t>职业卫生监管局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7" w:type="dxa"/>
            <w:vAlign w:val="center"/>
          </w:tcPr>
          <w:p>
            <w:pPr>
              <w:ind w:firstLine="0" w:firstLineChars="0"/>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3</w:t>
            </w:r>
          </w:p>
        </w:tc>
        <w:tc>
          <w:tcPr>
            <w:tcW w:w="4082" w:type="dxa"/>
            <w:vAlign w:val="center"/>
          </w:tcPr>
          <w:p>
            <w:pPr>
              <w:ind w:firstLine="0" w:firstLineChars="0"/>
              <w:jc w:val="center"/>
              <w:rPr>
                <w:rFonts w:asciiTheme="minorEastAsia" w:hAnsiTheme="minorEastAsia" w:eastAsiaTheme="minorEastAsia"/>
                <w:color w:val="000000" w:themeColor="text1"/>
                <w:sz w:val="21"/>
                <w:szCs w:val="21"/>
              </w:rPr>
            </w:pPr>
            <w:r>
              <w:rPr>
                <w:rFonts w:asciiTheme="minorEastAsia" w:hAnsiTheme="minorEastAsia" w:eastAsiaTheme="minorEastAsia"/>
                <w:color w:val="000000" w:themeColor="text1"/>
                <w:sz w:val="21"/>
                <w:szCs w:val="21"/>
              </w:rPr>
              <w:t>公路安全调查局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7" w:type="dxa"/>
            <w:vAlign w:val="center"/>
          </w:tcPr>
          <w:p>
            <w:pPr>
              <w:ind w:firstLine="0" w:firstLineChars="0"/>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4</w:t>
            </w:r>
          </w:p>
        </w:tc>
        <w:tc>
          <w:tcPr>
            <w:tcW w:w="4082" w:type="dxa"/>
            <w:vAlign w:val="center"/>
          </w:tcPr>
          <w:p>
            <w:pPr>
              <w:ind w:firstLine="0" w:firstLineChars="0"/>
              <w:jc w:val="center"/>
              <w:rPr>
                <w:rFonts w:asciiTheme="minorEastAsia" w:hAnsiTheme="minorEastAsia" w:eastAsiaTheme="minorEastAsia"/>
                <w:color w:val="000000" w:themeColor="text1"/>
                <w:sz w:val="21"/>
                <w:szCs w:val="21"/>
              </w:rPr>
            </w:pPr>
            <w:r>
              <w:rPr>
                <w:rFonts w:asciiTheme="minorEastAsia" w:hAnsiTheme="minorEastAsia" w:eastAsiaTheme="minorEastAsia"/>
                <w:color w:val="000000" w:themeColor="text1"/>
                <w:sz w:val="21"/>
                <w:szCs w:val="21"/>
              </w:rPr>
              <w:t>道路安全监督管理局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7" w:type="dxa"/>
            <w:vAlign w:val="center"/>
          </w:tcPr>
          <w:p>
            <w:pPr>
              <w:ind w:firstLine="0" w:firstLineChars="0"/>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5</w:t>
            </w:r>
          </w:p>
        </w:tc>
        <w:tc>
          <w:tcPr>
            <w:tcW w:w="4082" w:type="dxa"/>
            <w:vAlign w:val="center"/>
          </w:tcPr>
          <w:p>
            <w:pPr>
              <w:ind w:firstLine="0" w:firstLineChars="0"/>
              <w:jc w:val="center"/>
              <w:rPr>
                <w:rFonts w:asciiTheme="minorEastAsia" w:hAnsiTheme="minorEastAsia" w:eastAsiaTheme="minorEastAsia"/>
                <w:color w:val="000000" w:themeColor="text1"/>
                <w:sz w:val="21"/>
                <w:szCs w:val="21"/>
              </w:rPr>
            </w:pPr>
            <w:r>
              <w:rPr>
                <w:rFonts w:asciiTheme="minorEastAsia" w:hAnsiTheme="minorEastAsia" w:eastAsiaTheme="minorEastAsia"/>
                <w:color w:val="000000" w:themeColor="text1"/>
                <w:sz w:val="21"/>
                <w:szCs w:val="21"/>
              </w:rPr>
              <w:t>生产安全事故统计分析局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7" w:type="dxa"/>
            <w:vAlign w:val="center"/>
          </w:tcPr>
          <w:p>
            <w:pPr>
              <w:ind w:firstLine="0" w:firstLineChars="0"/>
              <w:jc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6</w:t>
            </w:r>
          </w:p>
        </w:tc>
        <w:tc>
          <w:tcPr>
            <w:tcW w:w="4082" w:type="dxa"/>
            <w:vAlign w:val="center"/>
          </w:tcPr>
          <w:p>
            <w:pPr>
              <w:ind w:firstLine="0" w:firstLineChars="0"/>
              <w:jc w:val="center"/>
              <w:rPr>
                <w:rFonts w:asciiTheme="minorEastAsia" w:hAnsiTheme="minorEastAsia" w:eastAsiaTheme="minorEastAsia"/>
                <w:color w:val="000000" w:themeColor="text1"/>
                <w:sz w:val="21"/>
                <w:szCs w:val="21"/>
              </w:rPr>
            </w:pPr>
            <w:r>
              <w:rPr>
                <w:rFonts w:asciiTheme="minorEastAsia" w:hAnsiTheme="minorEastAsia" w:eastAsiaTheme="minorEastAsia"/>
                <w:color w:val="000000" w:themeColor="text1"/>
                <w:sz w:val="21"/>
                <w:szCs w:val="21"/>
              </w:rPr>
              <w:t>西安市消防总队</w:t>
            </w:r>
          </w:p>
        </w:tc>
      </w:tr>
    </w:tbl>
    <w:p>
      <w:pPr>
        <w:pStyle w:val="14"/>
        <w:spacing w:beforeLines="100" w:afterLines="100"/>
        <w:ind w:firstLine="482"/>
        <w:rPr>
          <w:rFonts w:asciiTheme="minorEastAsia" w:hAnsiTheme="minorEastAsia" w:eastAsiaTheme="minorEastAsia"/>
          <w:color w:val="000000" w:themeColor="text1"/>
          <w:sz w:val="24"/>
          <w:szCs w:val="24"/>
        </w:rPr>
      </w:pPr>
      <w:bookmarkStart w:id="13" w:name="_Toc454441804"/>
      <w:r>
        <w:rPr>
          <w:rFonts w:hint="eastAsia" w:asciiTheme="minorEastAsia" w:hAnsiTheme="minorEastAsia" w:eastAsiaTheme="minorEastAsia"/>
          <w:sz w:val="24"/>
          <w:szCs w:val="24"/>
        </w:rPr>
        <w:t>三</w:t>
      </w:r>
      <w:r>
        <w:rPr>
          <w:rFonts w:asciiTheme="minorEastAsia" w:hAnsiTheme="minorEastAsia" w:eastAsiaTheme="minorEastAsia"/>
          <w:sz w:val="24"/>
          <w:szCs w:val="24"/>
        </w:rPr>
        <w:t>、</w:t>
      </w:r>
      <w:r>
        <w:rPr>
          <w:rFonts w:hint="eastAsia" w:asciiTheme="minorEastAsia" w:hAnsiTheme="minorEastAsia" w:eastAsiaTheme="minorEastAsia"/>
          <w:sz w:val="24"/>
          <w:szCs w:val="24"/>
        </w:rPr>
        <w:t>开设安全</w:t>
      </w:r>
      <w:r>
        <w:rPr>
          <w:rFonts w:asciiTheme="minorEastAsia" w:hAnsiTheme="minorEastAsia" w:eastAsiaTheme="minorEastAsia"/>
          <w:sz w:val="24"/>
          <w:szCs w:val="24"/>
        </w:rPr>
        <w:t>技术与管理</w:t>
      </w:r>
      <w:r>
        <w:rPr>
          <w:rFonts w:hint="eastAsia" w:asciiTheme="minorEastAsia" w:hAnsiTheme="minorEastAsia" w:eastAsiaTheme="minorEastAsia"/>
          <w:sz w:val="24"/>
          <w:szCs w:val="24"/>
        </w:rPr>
        <w:t>专业的人才培养定位分析</w:t>
      </w:r>
      <w:bookmarkEnd w:id="13"/>
    </w:p>
    <w:p>
      <w:pPr>
        <w:adjustRightInd w:val="0"/>
        <w:snapToGrid w:val="0"/>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根据对安全职业工作任务及对能力、素质、知识结构的要求分析，明确了专业培养目标定位及所对应的能力、素质和知识结构。</w:t>
      </w:r>
    </w:p>
    <w:p>
      <w:pPr>
        <w:pStyle w:val="2"/>
        <w:spacing w:before="326" w:after="326"/>
        <w:ind w:firstLine="422"/>
        <w:rPr>
          <w:rFonts w:hint="eastAsia" w:asciiTheme="minorEastAsia" w:hAnsiTheme="minorEastAsia" w:eastAsiaTheme="minorEastAsia"/>
          <w:sz w:val="21"/>
          <w:szCs w:val="21"/>
        </w:rPr>
      </w:pPr>
      <w:bookmarkStart w:id="14" w:name="_Toc454441805"/>
      <w:r>
        <w:rPr>
          <w:rFonts w:hint="eastAsia" w:asciiTheme="minorEastAsia" w:hAnsiTheme="minorEastAsia" w:eastAsiaTheme="minorEastAsia"/>
          <w:sz w:val="21"/>
          <w:szCs w:val="21"/>
        </w:rPr>
        <w:t>（一）专业培养目标</w:t>
      </w:r>
      <w:bookmarkEnd w:id="14"/>
    </w:p>
    <w:p>
      <w:pPr>
        <w:adjustRightInd w:val="0"/>
        <w:snapToGrid w:val="0"/>
        <w:spacing w:line="360" w:lineRule="auto"/>
        <w:ind w:firstLine="420"/>
        <w:rPr>
          <w:rFonts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本</w:t>
      </w:r>
      <w:r>
        <w:rPr>
          <w:rFonts w:asciiTheme="minorEastAsia" w:hAnsiTheme="minorEastAsia" w:eastAsiaTheme="minorEastAsia"/>
          <w:color w:val="000000"/>
          <w:sz w:val="21"/>
          <w:szCs w:val="21"/>
          <w:shd w:val="clear" w:color="auto" w:fill="FFFFFF"/>
        </w:rPr>
        <w:t>专业</w:t>
      </w:r>
      <w:r>
        <w:rPr>
          <w:rFonts w:hint="eastAsia" w:asciiTheme="minorEastAsia" w:hAnsiTheme="minorEastAsia" w:eastAsiaTheme="minorEastAsia"/>
          <w:color w:val="000000"/>
          <w:sz w:val="21"/>
          <w:szCs w:val="21"/>
          <w:shd w:val="clear" w:color="auto" w:fill="FFFFFF"/>
        </w:rPr>
        <w:t>培养</w:t>
      </w:r>
      <w:r>
        <w:rPr>
          <w:rFonts w:asciiTheme="minorEastAsia" w:hAnsiTheme="minorEastAsia" w:eastAsiaTheme="minorEastAsia"/>
          <w:color w:val="000000"/>
          <w:sz w:val="21"/>
          <w:szCs w:val="21"/>
          <w:shd w:val="clear" w:color="auto" w:fill="FFFFFF"/>
        </w:rPr>
        <w:t>面向生产、建设、管理一线</w:t>
      </w:r>
      <w:r>
        <w:rPr>
          <w:rFonts w:hint="eastAsia" w:asciiTheme="minorEastAsia" w:hAnsiTheme="minorEastAsia" w:eastAsiaTheme="minorEastAsia"/>
          <w:color w:val="000000"/>
          <w:sz w:val="21"/>
          <w:szCs w:val="21"/>
          <w:shd w:val="clear" w:color="auto" w:fill="FFFFFF"/>
        </w:rPr>
        <w:t>，能</w:t>
      </w:r>
      <w:r>
        <w:rPr>
          <w:rFonts w:asciiTheme="minorEastAsia" w:hAnsiTheme="minorEastAsia" w:eastAsiaTheme="minorEastAsia"/>
          <w:color w:val="000000"/>
          <w:sz w:val="21"/>
          <w:szCs w:val="21"/>
          <w:shd w:val="clear" w:color="auto" w:fill="FFFFFF"/>
        </w:rPr>
        <w:t>掌握安全科学、安全工程及技术的</w:t>
      </w:r>
      <w:r>
        <w:rPr>
          <w:rFonts w:hint="eastAsia" w:asciiTheme="minorEastAsia" w:hAnsiTheme="minorEastAsia" w:eastAsiaTheme="minorEastAsia"/>
          <w:color w:val="000000"/>
          <w:sz w:val="21"/>
          <w:szCs w:val="21"/>
          <w:shd w:val="clear" w:color="auto" w:fill="FFFFFF"/>
        </w:rPr>
        <w:t>基础</w:t>
      </w:r>
      <w:r>
        <w:rPr>
          <w:rFonts w:asciiTheme="minorEastAsia" w:hAnsiTheme="minorEastAsia" w:eastAsiaTheme="minorEastAsia"/>
          <w:color w:val="000000"/>
          <w:sz w:val="21"/>
          <w:szCs w:val="21"/>
          <w:shd w:val="clear" w:color="auto" w:fill="FFFFFF"/>
        </w:rPr>
        <w:t>理论知识，具有安全检测、安全评价、</w:t>
      </w:r>
      <w:r>
        <w:rPr>
          <w:rFonts w:hint="eastAsia" w:asciiTheme="minorEastAsia" w:hAnsiTheme="minorEastAsia" w:eastAsiaTheme="minorEastAsia"/>
          <w:color w:val="000000"/>
          <w:sz w:val="21"/>
          <w:szCs w:val="21"/>
          <w:shd w:val="clear" w:color="auto" w:fill="FFFFFF"/>
        </w:rPr>
        <w:t>安全</w:t>
      </w:r>
      <w:r>
        <w:rPr>
          <w:rFonts w:asciiTheme="minorEastAsia" w:hAnsiTheme="minorEastAsia" w:eastAsiaTheme="minorEastAsia"/>
          <w:color w:val="000000"/>
          <w:sz w:val="21"/>
          <w:szCs w:val="21"/>
          <w:shd w:val="clear" w:color="auto" w:fill="FFFFFF"/>
        </w:rPr>
        <w:t>管理</w:t>
      </w:r>
      <w:r>
        <w:rPr>
          <w:rFonts w:hint="eastAsia" w:asciiTheme="minorEastAsia" w:hAnsiTheme="minorEastAsia" w:eastAsiaTheme="minorEastAsia"/>
          <w:color w:val="000000"/>
          <w:sz w:val="21"/>
          <w:szCs w:val="21"/>
          <w:shd w:val="clear" w:color="auto" w:fill="FFFFFF"/>
        </w:rPr>
        <w:t>、安全教育培训等</w:t>
      </w:r>
      <w:r>
        <w:rPr>
          <w:rFonts w:asciiTheme="minorEastAsia" w:hAnsiTheme="minorEastAsia" w:eastAsiaTheme="minorEastAsia"/>
          <w:color w:val="000000"/>
          <w:sz w:val="21"/>
          <w:szCs w:val="21"/>
          <w:shd w:val="clear" w:color="auto" w:fill="FFFFFF"/>
        </w:rPr>
        <w:t>安全核心能力</w:t>
      </w:r>
      <w:r>
        <w:rPr>
          <w:rFonts w:hint="eastAsia" w:asciiTheme="minorEastAsia" w:hAnsiTheme="minorEastAsia" w:eastAsiaTheme="minorEastAsia"/>
          <w:color w:val="000000"/>
          <w:sz w:val="21"/>
          <w:szCs w:val="21"/>
          <w:shd w:val="clear" w:color="auto" w:fill="FFFFFF"/>
        </w:rPr>
        <w:t>及</w:t>
      </w:r>
      <w:r>
        <w:rPr>
          <w:rFonts w:asciiTheme="minorEastAsia" w:hAnsiTheme="minorEastAsia" w:eastAsiaTheme="minorEastAsia"/>
          <w:color w:val="000000"/>
          <w:sz w:val="21"/>
          <w:szCs w:val="21"/>
          <w:shd w:val="clear" w:color="auto" w:fill="FFFFFF"/>
        </w:rPr>
        <w:t>土建安全技术、交通安全技术管理、</w:t>
      </w:r>
      <w:r>
        <w:rPr>
          <w:rFonts w:hint="eastAsia" w:asciiTheme="minorEastAsia" w:hAnsiTheme="minorEastAsia" w:eastAsiaTheme="minorEastAsia"/>
          <w:color w:val="000000"/>
          <w:sz w:val="21"/>
          <w:szCs w:val="21"/>
          <w:shd w:val="clear" w:color="auto" w:fill="FFFFFF"/>
        </w:rPr>
        <w:t>消防工程</w:t>
      </w:r>
      <w:r>
        <w:rPr>
          <w:rFonts w:asciiTheme="minorEastAsia" w:hAnsiTheme="minorEastAsia" w:eastAsiaTheme="minorEastAsia"/>
          <w:color w:val="000000"/>
          <w:sz w:val="21"/>
          <w:szCs w:val="21"/>
          <w:shd w:val="clear" w:color="auto" w:fill="FFFFFF"/>
        </w:rPr>
        <w:t>等</w:t>
      </w:r>
      <w:r>
        <w:rPr>
          <w:rFonts w:hint="eastAsia" w:asciiTheme="minorEastAsia" w:hAnsiTheme="minorEastAsia" w:eastAsiaTheme="minorEastAsia"/>
          <w:color w:val="000000"/>
          <w:sz w:val="21"/>
          <w:szCs w:val="21"/>
          <w:shd w:val="clear" w:color="auto" w:fill="FFFFFF"/>
        </w:rPr>
        <w:t>行业安全</w:t>
      </w:r>
      <w:r>
        <w:rPr>
          <w:rFonts w:asciiTheme="minorEastAsia" w:hAnsiTheme="minorEastAsia" w:eastAsiaTheme="minorEastAsia"/>
          <w:color w:val="000000"/>
          <w:sz w:val="21"/>
          <w:szCs w:val="21"/>
          <w:shd w:val="clear" w:color="auto" w:fill="FFFFFF"/>
        </w:rPr>
        <w:t>能力的专业技术人</w:t>
      </w:r>
      <w:r>
        <w:rPr>
          <w:rFonts w:hint="eastAsia" w:asciiTheme="minorEastAsia" w:hAnsiTheme="minorEastAsia" w:eastAsiaTheme="minorEastAsia"/>
          <w:color w:val="000000"/>
          <w:sz w:val="21"/>
          <w:szCs w:val="21"/>
          <w:shd w:val="clear" w:color="auto" w:fill="FFFFFF"/>
        </w:rPr>
        <w:t>才，</w:t>
      </w:r>
      <w:r>
        <w:rPr>
          <w:rFonts w:asciiTheme="minorEastAsia" w:hAnsiTheme="minorEastAsia" w:eastAsiaTheme="minorEastAsia"/>
          <w:color w:val="000000"/>
          <w:sz w:val="21"/>
          <w:szCs w:val="21"/>
          <w:shd w:val="clear" w:color="auto" w:fill="FFFFFF"/>
        </w:rPr>
        <w:t>并具有时代创新精神和可持续发展的能力</w:t>
      </w:r>
      <w:r>
        <w:rPr>
          <w:rFonts w:hint="eastAsia" w:asciiTheme="minorEastAsia" w:hAnsiTheme="minorEastAsia" w:eastAsiaTheme="minorEastAsia"/>
          <w:color w:val="000000"/>
          <w:sz w:val="21"/>
          <w:szCs w:val="21"/>
          <w:shd w:val="clear" w:color="auto" w:fill="FFFFFF"/>
        </w:rPr>
        <w:t>、</w:t>
      </w:r>
      <w:r>
        <w:rPr>
          <w:rFonts w:asciiTheme="minorEastAsia" w:hAnsiTheme="minorEastAsia" w:eastAsiaTheme="minorEastAsia"/>
          <w:color w:val="000000"/>
          <w:sz w:val="21"/>
          <w:szCs w:val="21"/>
          <w:shd w:val="clear" w:color="auto" w:fill="FFFFFF"/>
        </w:rPr>
        <w:t>高素质</w:t>
      </w:r>
      <w:r>
        <w:rPr>
          <w:rFonts w:hint="eastAsia" w:asciiTheme="minorEastAsia" w:hAnsiTheme="minorEastAsia" w:eastAsiaTheme="minorEastAsia"/>
          <w:color w:val="000000"/>
          <w:sz w:val="21"/>
          <w:szCs w:val="21"/>
          <w:shd w:val="clear" w:color="auto" w:fill="FFFFFF"/>
        </w:rPr>
        <w:t>的</w:t>
      </w:r>
      <w:r>
        <w:rPr>
          <w:rFonts w:asciiTheme="minorEastAsia" w:hAnsiTheme="minorEastAsia" w:eastAsiaTheme="minorEastAsia"/>
          <w:color w:val="000000"/>
          <w:sz w:val="21"/>
          <w:szCs w:val="21"/>
          <w:shd w:val="clear" w:color="auto" w:fill="FFFFFF"/>
        </w:rPr>
        <w:t>技术应用型人才。</w:t>
      </w:r>
    </w:p>
    <w:p>
      <w:pPr>
        <w:pStyle w:val="2"/>
        <w:spacing w:before="326" w:after="326"/>
        <w:ind w:firstLine="422"/>
        <w:rPr>
          <w:rFonts w:asciiTheme="minorEastAsia" w:hAnsiTheme="minorEastAsia" w:eastAsiaTheme="minorEastAsia"/>
          <w:sz w:val="21"/>
          <w:szCs w:val="21"/>
        </w:rPr>
      </w:pPr>
      <w:bookmarkStart w:id="15" w:name="_Toc454441806"/>
      <w:r>
        <w:rPr>
          <w:rFonts w:hint="eastAsia" w:asciiTheme="minorEastAsia" w:hAnsiTheme="minorEastAsia" w:eastAsiaTheme="minorEastAsia"/>
          <w:sz w:val="21"/>
          <w:szCs w:val="21"/>
        </w:rPr>
        <w:t>（二）培养规格</w:t>
      </w:r>
      <w:bookmarkEnd w:id="15"/>
    </w:p>
    <w:p>
      <w:pPr>
        <w:pStyle w:val="10"/>
        <w:spacing w:line="360" w:lineRule="auto"/>
        <w:ind w:firstLine="422"/>
        <w:rPr>
          <w:rFonts w:asciiTheme="minorEastAsia" w:hAnsiTheme="minorEastAsia" w:eastAsiaTheme="minorEastAsia"/>
          <w:sz w:val="21"/>
          <w:szCs w:val="21"/>
        </w:rPr>
      </w:pPr>
      <w:bookmarkStart w:id="16" w:name="_Toc454441807"/>
      <w:r>
        <w:rPr>
          <w:rFonts w:cs="Times New Roman" w:asciiTheme="minorEastAsia" w:hAnsiTheme="minorEastAsia" w:eastAsiaTheme="minorEastAsia"/>
          <w:sz w:val="21"/>
          <w:szCs w:val="21"/>
        </w:rPr>
        <w:t>1.</w:t>
      </w:r>
      <w:r>
        <w:rPr>
          <w:rFonts w:hint="eastAsia" w:asciiTheme="minorEastAsia" w:hAnsiTheme="minorEastAsia" w:eastAsiaTheme="minorEastAsia"/>
          <w:sz w:val="21"/>
          <w:szCs w:val="21"/>
        </w:rPr>
        <w:t>知识方面</w:t>
      </w:r>
      <w:bookmarkEnd w:id="16"/>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lang w:val="en-US" w:eastAsia="zh-CN"/>
        </w:rPr>
      </w:pPr>
      <w:r>
        <w:rPr>
          <w:rFonts w:hint="eastAsia" w:asciiTheme="minorEastAsia" w:hAnsiTheme="minorEastAsia" w:eastAsiaTheme="minorEastAsia"/>
          <w:color w:val="000000"/>
          <w:sz w:val="21"/>
          <w:szCs w:val="21"/>
          <w:shd w:val="clear" w:color="auto" w:fill="FFFFFF"/>
          <w:lang w:val="en-US" w:eastAsia="zh-CN"/>
        </w:rPr>
        <w:t>（1）安全生产法律法规，国家标准、行业标准；</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lang w:val="en-US" w:eastAsia="zh-CN"/>
        </w:rPr>
      </w:pPr>
      <w:r>
        <w:rPr>
          <w:rFonts w:hint="eastAsia" w:asciiTheme="minorEastAsia" w:hAnsiTheme="minorEastAsia" w:eastAsiaTheme="minorEastAsia"/>
          <w:color w:val="000000"/>
          <w:sz w:val="21"/>
          <w:szCs w:val="21"/>
          <w:shd w:val="clear" w:color="auto" w:fill="FFFFFF"/>
          <w:lang w:val="en-US" w:eastAsia="zh-CN"/>
        </w:rPr>
        <w:t>（2）安全科学与安全技术、安全系统工程；</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lang w:val="en-US" w:eastAsia="zh-CN"/>
        </w:rPr>
      </w:pPr>
      <w:r>
        <w:rPr>
          <w:rFonts w:hint="eastAsia" w:asciiTheme="minorEastAsia" w:hAnsiTheme="minorEastAsia" w:eastAsiaTheme="minorEastAsia"/>
          <w:color w:val="000000"/>
          <w:sz w:val="21"/>
          <w:szCs w:val="21"/>
          <w:shd w:val="clear" w:color="auto" w:fill="FFFFFF"/>
          <w:lang w:val="en-US" w:eastAsia="zh-CN"/>
        </w:rPr>
        <w:t>（3）现代安全管理理论；</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lang w:val="en-US" w:eastAsia="zh-CN"/>
        </w:rPr>
      </w:pPr>
      <w:r>
        <w:rPr>
          <w:rFonts w:hint="eastAsia" w:asciiTheme="minorEastAsia" w:hAnsiTheme="minorEastAsia" w:eastAsiaTheme="minorEastAsia"/>
          <w:color w:val="000000"/>
          <w:sz w:val="21"/>
          <w:szCs w:val="21"/>
          <w:shd w:val="clear" w:color="auto" w:fill="FFFFFF"/>
          <w:lang w:val="en-US" w:eastAsia="zh-CN"/>
        </w:rPr>
        <w:t>（4）安全评价理论及方法；</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lang w:val="en-US" w:eastAsia="zh-CN"/>
        </w:rPr>
      </w:pPr>
      <w:r>
        <w:rPr>
          <w:rFonts w:hint="eastAsia" w:asciiTheme="minorEastAsia" w:hAnsiTheme="minorEastAsia" w:eastAsiaTheme="minorEastAsia"/>
          <w:color w:val="000000"/>
          <w:sz w:val="21"/>
          <w:szCs w:val="21"/>
          <w:shd w:val="clear" w:color="auto" w:fill="FFFFFF"/>
          <w:lang w:val="en-US" w:eastAsia="zh-CN"/>
        </w:rPr>
        <w:t>（5）行业生产工艺知识。</w:t>
      </w:r>
    </w:p>
    <w:p>
      <w:pPr>
        <w:pStyle w:val="10"/>
        <w:numPr>
          <w:ilvl w:val="0"/>
          <w:numId w:val="1"/>
        </w:numPr>
        <w:spacing w:line="360" w:lineRule="auto"/>
        <w:ind w:firstLineChars="0"/>
        <w:rPr>
          <w:rFonts w:asciiTheme="minorEastAsia" w:hAnsiTheme="minorEastAsia" w:eastAsiaTheme="minorEastAsia"/>
          <w:sz w:val="21"/>
          <w:szCs w:val="21"/>
        </w:rPr>
      </w:pPr>
      <w:bookmarkStart w:id="17" w:name="_Toc454441808"/>
      <w:r>
        <w:rPr>
          <w:rFonts w:cs="Times New Roman" w:asciiTheme="minorEastAsia" w:hAnsiTheme="minorEastAsia" w:eastAsiaTheme="minorEastAsia"/>
          <w:sz w:val="21"/>
          <w:szCs w:val="21"/>
        </w:rPr>
        <w:t>专</w:t>
      </w:r>
      <w:r>
        <w:rPr>
          <w:rFonts w:hint="eastAsia" w:asciiTheme="minorEastAsia" w:hAnsiTheme="minorEastAsia" w:eastAsiaTheme="minorEastAsia"/>
          <w:sz w:val="21"/>
          <w:szCs w:val="21"/>
        </w:rPr>
        <w:t>业能力</w:t>
      </w:r>
      <w:bookmarkEnd w:id="17"/>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（1）工程识图与绘图能力；</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（2）现场安全急救与护理；</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（3）简单电工作业与电气隐患排查；</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（4）危险有害物质检测与监控；</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（5）系统安全分析与隐患排查；</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（6）安全宣传教育的组织实施；</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（7）企业安全管理体系建立与运行；</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（8）企业危险辨识与安全评价；</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（9）企业风险评估与事故勘查；</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（10）建筑消防监控与设施维护。</w:t>
      </w:r>
    </w:p>
    <w:p>
      <w:pPr>
        <w:pStyle w:val="10"/>
        <w:numPr>
          <w:ilvl w:val="0"/>
          <w:numId w:val="1"/>
        </w:numPr>
        <w:spacing w:line="360" w:lineRule="auto"/>
        <w:ind w:firstLineChars="0"/>
        <w:rPr>
          <w:rFonts w:cs="Times New Roman" w:asciiTheme="minorEastAsia" w:hAnsiTheme="minorEastAsia" w:eastAsiaTheme="minorEastAsia"/>
          <w:sz w:val="21"/>
          <w:szCs w:val="21"/>
        </w:rPr>
      </w:pPr>
      <w:bookmarkStart w:id="18" w:name="_Toc454441809"/>
      <w:bookmarkStart w:id="19" w:name="_Toc310694649"/>
      <w:r>
        <w:rPr>
          <w:rFonts w:cs="Times New Roman" w:asciiTheme="minorEastAsia" w:hAnsiTheme="minorEastAsia" w:eastAsiaTheme="minorEastAsia"/>
          <w:sz w:val="21"/>
          <w:szCs w:val="21"/>
        </w:rPr>
        <w:t>素质要求</w:t>
      </w:r>
      <w:bookmarkEnd w:id="18"/>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（1）具有良好的职业道德和敬业精神，积极的求知欲和创新意识；</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（2）具有良好的人际交往和协调能力，团队合作精神和客户服务意识；</w:t>
      </w:r>
    </w:p>
    <w:p>
      <w:pPr>
        <w:adjustRightInd w:val="0"/>
        <w:snapToGrid w:val="0"/>
        <w:spacing w:line="360" w:lineRule="auto"/>
        <w:ind w:firstLine="420"/>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（3）具有健康的体魄，树立正确的人生观和价值观。</w:t>
      </w:r>
    </w:p>
    <w:p>
      <w:pPr>
        <w:pStyle w:val="10"/>
        <w:pageBreakBefore w:val="0"/>
        <w:widowControl w:val="0"/>
        <w:numPr>
          <w:ilvl w:val="0"/>
          <w:numId w:val="1"/>
        </w:numPr>
        <w:kinsoku/>
        <w:wordWrap/>
        <w:overflowPunct/>
        <w:topLinePunct w:val="0"/>
        <w:autoSpaceDE/>
        <w:autoSpaceDN/>
        <w:bidi w:val="0"/>
        <w:spacing w:line="460" w:lineRule="exact"/>
        <w:ind w:right="0" w:rightChars="0" w:firstLineChars="0"/>
        <w:textAlignment w:val="auto"/>
        <w:rPr>
          <w:rFonts w:cs="Times New Roman" w:asciiTheme="minorEastAsia" w:hAnsiTheme="minorEastAsia" w:eastAsiaTheme="minorEastAsia"/>
          <w:sz w:val="21"/>
          <w:szCs w:val="21"/>
        </w:rPr>
      </w:pPr>
      <w:bookmarkStart w:id="20" w:name="_Toc454441810"/>
      <w:r>
        <w:rPr>
          <w:rFonts w:cs="Times New Roman" w:asciiTheme="minorEastAsia" w:hAnsiTheme="minorEastAsia" w:eastAsiaTheme="minorEastAsia"/>
          <w:sz w:val="21"/>
          <w:szCs w:val="21"/>
        </w:rPr>
        <w:t>职业资格证书</w:t>
      </w:r>
      <w:bookmarkEnd w:id="20"/>
    </w:p>
    <w:p>
      <w:pPr>
        <w:pageBreakBefore w:val="0"/>
        <w:widowControl w:val="0"/>
        <w:kinsoku/>
        <w:wordWrap/>
        <w:overflowPunct/>
        <w:topLinePunct w:val="0"/>
        <w:autoSpaceDE/>
        <w:autoSpaceDN/>
        <w:bidi w:val="0"/>
        <w:spacing w:line="460" w:lineRule="exact"/>
        <w:ind w:right="0" w:rightChars="0" w:firstLine="420"/>
        <w:textAlignment w:val="auto"/>
        <w:rPr>
          <w:rFonts w:asciiTheme="minorEastAsia" w:hAnsiTheme="minorEastAsia" w:eastAsiaTheme="minorEastAsia"/>
          <w:sz w:val="21"/>
          <w:szCs w:val="21"/>
        </w:rPr>
      </w:pPr>
      <w:r>
        <w:rPr>
          <w:rFonts w:hint="eastAsia" w:asciiTheme="minorEastAsia" w:hAnsiTheme="minorEastAsia" w:eastAsiaTheme="minorEastAsia"/>
          <w:color w:val="000000"/>
          <w:sz w:val="21"/>
          <w:szCs w:val="21"/>
          <w:shd w:val="clear" w:color="auto" w:fill="FFFFFF"/>
        </w:rPr>
        <w:t>安全技术与管理（专科）专业规则的“特色课程”中提供了“安全工程师培训”课程，可以辅助学生取得本专业相关职业资格证书。</w:t>
      </w:r>
    </w:p>
    <w:p>
      <w:pPr>
        <w:pStyle w:val="2"/>
        <w:pageBreakBefore w:val="0"/>
        <w:widowControl w:val="0"/>
        <w:kinsoku/>
        <w:wordWrap/>
        <w:overflowPunct/>
        <w:topLinePunct w:val="0"/>
        <w:autoSpaceDE/>
        <w:autoSpaceDN/>
        <w:bidi w:val="0"/>
        <w:spacing w:before="326" w:after="326" w:line="460" w:lineRule="exact"/>
        <w:ind w:right="0" w:rightChars="0" w:firstLine="422"/>
        <w:textAlignment w:val="auto"/>
        <w:rPr>
          <w:rFonts w:asciiTheme="minorEastAsia" w:hAnsiTheme="minorEastAsia" w:eastAsiaTheme="minorEastAsia"/>
          <w:sz w:val="21"/>
          <w:szCs w:val="21"/>
        </w:rPr>
      </w:pPr>
      <w:bookmarkStart w:id="21" w:name="_Toc454441811"/>
      <w:r>
        <w:rPr>
          <w:rFonts w:hint="eastAsia" w:asciiTheme="minorEastAsia" w:hAnsiTheme="minorEastAsia" w:eastAsiaTheme="minorEastAsia"/>
          <w:sz w:val="21"/>
          <w:szCs w:val="21"/>
        </w:rPr>
        <w:t>（三）生源范围</w:t>
      </w:r>
      <w:bookmarkEnd w:id="19"/>
      <w:bookmarkEnd w:id="21"/>
    </w:p>
    <w:p>
      <w:pPr>
        <w:pageBreakBefore w:val="0"/>
        <w:widowControl w:val="0"/>
        <w:kinsoku/>
        <w:wordWrap/>
        <w:overflowPunct/>
        <w:topLinePunct w:val="0"/>
        <w:autoSpaceDE/>
        <w:autoSpaceDN/>
        <w:bidi w:val="0"/>
        <w:adjustRightInd w:val="0"/>
        <w:snapToGrid w:val="0"/>
        <w:spacing w:line="460" w:lineRule="exact"/>
        <w:ind w:right="0" w:rightChars="0" w:firstLine="420"/>
        <w:textAlignment w:val="auto"/>
        <w:rPr>
          <w:rFonts w:hint="eastAsia" w:asciiTheme="minorEastAsia" w:hAnsiTheme="minorEastAsia" w:eastAsiaTheme="minorEastAsia"/>
          <w:color w:val="000000"/>
          <w:sz w:val="21"/>
          <w:szCs w:val="21"/>
          <w:shd w:val="clear" w:color="auto" w:fill="FFFFFF"/>
        </w:rPr>
      </w:pPr>
      <w:r>
        <w:rPr>
          <w:rFonts w:hint="eastAsia" w:asciiTheme="minorEastAsia" w:hAnsiTheme="minorEastAsia" w:eastAsiaTheme="minorEastAsia"/>
          <w:color w:val="000000"/>
          <w:sz w:val="21"/>
          <w:szCs w:val="21"/>
          <w:shd w:val="clear" w:color="auto" w:fill="FFFFFF"/>
        </w:rPr>
        <w:t>具有普高、职高、中专等中等学历教育的人员。</w:t>
      </w:r>
    </w:p>
    <w:p>
      <w:pPr>
        <w:pStyle w:val="2"/>
        <w:pageBreakBefore w:val="0"/>
        <w:widowControl w:val="0"/>
        <w:kinsoku/>
        <w:wordWrap/>
        <w:overflowPunct/>
        <w:topLinePunct w:val="0"/>
        <w:autoSpaceDE/>
        <w:autoSpaceDN/>
        <w:bidi w:val="0"/>
        <w:spacing w:before="326" w:after="326" w:line="460" w:lineRule="exact"/>
        <w:ind w:right="0" w:rightChars="0" w:firstLine="422"/>
        <w:textAlignment w:val="auto"/>
        <w:rPr>
          <w:rFonts w:asciiTheme="minorEastAsia" w:hAnsiTheme="minorEastAsia" w:eastAsiaTheme="minorEastAsia"/>
          <w:sz w:val="21"/>
          <w:szCs w:val="21"/>
        </w:rPr>
      </w:pPr>
      <w:bookmarkStart w:id="22" w:name="_Toc454441812"/>
      <w:r>
        <w:rPr>
          <w:rFonts w:hint="eastAsia" w:asciiTheme="minorEastAsia" w:hAnsiTheme="minorEastAsia" w:eastAsiaTheme="minorEastAsia"/>
          <w:sz w:val="21"/>
          <w:szCs w:val="21"/>
        </w:rPr>
        <w:t>（四）课程设置</w:t>
      </w:r>
      <w:bookmarkEnd w:id="22"/>
    </w:p>
    <w:p>
      <w:pPr>
        <w:pStyle w:val="10"/>
        <w:pageBreakBefore w:val="0"/>
        <w:widowControl w:val="0"/>
        <w:kinsoku/>
        <w:wordWrap/>
        <w:overflowPunct/>
        <w:topLinePunct w:val="0"/>
        <w:autoSpaceDE/>
        <w:autoSpaceDN/>
        <w:bidi w:val="0"/>
        <w:spacing w:line="460" w:lineRule="exact"/>
        <w:ind w:right="0" w:rightChars="0" w:firstLine="422"/>
        <w:textAlignment w:val="auto"/>
        <w:rPr>
          <w:rFonts w:asciiTheme="minorEastAsia" w:hAnsiTheme="minorEastAsia" w:eastAsiaTheme="minorEastAsia"/>
          <w:sz w:val="21"/>
          <w:szCs w:val="21"/>
        </w:rPr>
      </w:pPr>
      <w:bookmarkStart w:id="23" w:name="_Toc454441813"/>
      <w:r>
        <w:rPr>
          <w:rFonts w:cs="Times New Roman" w:asciiTheme="minorEastAsia" w:hAnsiTheme="minorEastAsia" w:eastAsiaTheme="minorEastAsia"/>
          <w:sz w:val="21"/>
          <w:szCs w:val="21"/>
        </w:rPr>
        <w:t>1.</w:t>
      </w:r>
      <w:r>
        <w:rPr>
          <w:rFonts w:hint="eastAsia" w:asciiTheme="minorEastAsia" w:hAnsiTheme="minorEastAsia" w:eastAsiaTheme="minorEastAsia"/>
          <w:sz w:val="21"/>
          <w:szCs w:val="21"/>
        </w:rPr>
        <w:t>课程体系设置原则</w:t>
      </w:r>
      <w:bookmarkEnd w:id="23"/>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（1）强调坚实的学科专业理论基础；</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（2）以就业能力为导向，优化的专业方向和课程群；</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（3）突出实践应用能力的培养和灵活的个性化发展。</w:t>
      </w:r>
    </w:p>
    <w:p>
      <w:pPr>
        <w:pStyle w:val="10"/>
        <w:pageBreakBefore w:val="0"/>
        <w:widowControl w:val="0"/>
        <w:kinsoku/>
        <w:wordWrap/>
        <w:overflowPunct/>
        <w:topLinePunct w:val="0"/>
        <w:autoSpaceDE/>
        <w:autoSpaceDN/>
        <w:bidi w:val="0"/>
        <w:spacing w:line="460" w:lineRule="exact"/>
        <w:ind w:right="0" w:rightChars="0" w:firstLine="422"/>
        <w:textAlignment w:val="auto"/>
        <w:rPr>
          <w:rFonts w:asciiTheme="minorEastAsia" w:hAnsiTheme="minorEastAsia" w:eastAsiaTheme="minorEastAsia"/>
          <w:sz w:val="21"/>
          <w:szCs w:val="21"/>
        </w:rPr>
      </w:pPr>
      <w:bookmarkStart w:id="24" w:name="_Toc454441814"/>
      <w:r>
        <w:rPr>
          <w:rFonts w:cs="Times New Roman" w:asciiTheme="minorEastAsia" w:hAnsiTheme="minorEastAsia" w:eastAsiaTheme="minorEastAsia"/>
          <w:sz w:val="21"/>
          <w:szCs w:val="21"/>
        </w:rPr>
        <w:t>2.</w:t>
      </w:r>
      <w:r>
        <w:rPr>
          <w:rFonts w:hint="eastAsia" w:asciiTheme="minorEastAsia" w:hAnsiTheme="minorEastAsia" w:eastAsiaTheme="minorEastAsia"/>
          <w:sz w:val="21"/>
          <w:szCs w:val="21"/>
        </w:rPr>
        <w:t>课程模块设置</w:t>
      </w:r>
      <w:bookmarkEnd w:id="24"/>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本专业共设置6个模块，分别是：公共基础课模块、专业基础课模块、专业课模块、通识课模块、综合实践模块、特色课模块。</w:t>
      </w:r>
    </w:p>
    <w:p>
      <w:pPr>
        <w:pageBreakBefore w:val="0"/>
        <w:widowControl w:val="0"/>
        <w:tabs>
          <w:tab w:val="left" w:pos="720"/>
        </w:tabs>
        <w:kinsoku/>
        <w:wordWrap/>
        <w:overflowPunct/>
        <w:topLinePunct w:val="0"/>
        <w:autoSpaceDE/>
        <w:autoSpaceDN/>
        <w:bidi w:val="0"/>
        <w:adjustRightInd w:val="0"/>
        <w:snapToGrid w:val="0"/>
        <w:spacing w:line="460" w:lineRule="exact"/>
        <w:ind w:right="0" w:rightChars="0" w:firstLine="422"/>
        <w:textAlignment w:val="auto"/>
        <w:rPr>
          <w:rFonts w:asciiTheme="minorEastAsia" w:hAnsiTheme="minorEastAsia" w:eastAsiaTheme="minorEastAsia"/>
          <w:b/>
          <w:color w:val="000000" w:themeColor="text1"/>
          <w:sz w:val="21"/>
          <w:szCs w:val="21"/>
        </w:rPr>
      </w:pPr>
      <w:r>
        <w:rPr>
          <w:rFonts w:hint="eastAsia" w:asciiTheme="minorEastAsia" w:hAnsiTheme="minorEastAsia" w:eastAsiaTheme="minorEastAsia"/>
          <w:b/>
          <w:color w:val="000000" w:themeColor="text1"/>
          <w:sz w:val="21"/>
          <w:szCs w:val="21"/>
        </w:rPr>
        <w:t>（</w:t>
      </w:r>
      <w:r>
        <w:rPr>
          <w:rFonts w:asciiTheme="minorEastAsia" w:hAnsiTheme="minorEastAsia" w:eastAsiaTheme="minorEastAsia"/>
          <w:b/>
          <w:color w:val="000000" w:themeColor="text1"/>
          <w:sz w:val="21"/>
          <w:szCs w:val="21"/>
        </w:rPr>
        <w:t>1）公共基础课</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该模块国家开放大学考试最低学分为9学分，模块设置最低学分为12学分。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该模块开设的主要课程有：《中国特色社会主义理论体系概论》、《国家开放大学学习指南》、《英语Ⅰ（1）》、《高等数学基础》、《计算机文化用基础》等。</w:t>
      </w:r>
    </w:p>
    <w:p>
      <w:pPr>
        <w:pageBreakBefore w:val="0"/>
        <w:widowControl w:val="0"/>
        <w:tabs>
          <w:tab w:val="left" w:pos="720"/>
        </w:tabs>
        <w:kinsoku/>
        <w:wordWrap/>
        <w:overflowPunct/>
        <w:topLinePunct w:val="0"/>
        <w:autoSpaceDE/>
        <w:autoSpaceDN/>
        <w:bidi w:val="0"/>
        <w:adjustRightInd w:val="0"/>
        <w:snapToGrid w:val="0"/>
        <w:spacing w:line="460" w:lineRule="exact"/>
        <w:ind w:right="0" w:rightChars="0" w:firstLine="422"/>
        <w:textAlignment w:val="auto"/>
        <w:rPr>
          <w:rFonts w:asciiTheme="minorEastAsia" w:hAnsiTheme="minorEastAsia" w:eastAsiaTheme="minorEastAsia"/>
          <w:b/>
          <w:color w:val="000000" w:themeColor="text1"/>
          <w:sz w:val="21"/>
          <w:szCs w:val="21"/>
        </w:rPr>
      </w:pPr>
      <w:r>
        <w:rPr>
          <w:rFonts w:asciiTheme="minorEastAsia" w:hAnsiTheme="minorEastAsia" w:eastAsiaTheme="minorEastAsia"/>
          <w:b/>
          <w:color w:val="000000" w:themeColor="text1"/>
          <w:sz w:val="21"/>
          <w:szCs w:val="21"/>
        </w:rPr>
        <w:t>（2）专业基础课</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该模块国家开放大学考试最低学分为14学分，模块设置最低学分为26学分。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的主要专业课程有：《安全管理》、《安全系统工程》、《安全原理》、《安全人机工程》、《工程制图基础》、《工业通风及除尘》、《流体力学与热工学基础》、《安全管理文书写作》、《信息管理系统》等课程。</w:t>
      </w:r>
    </w:p>
    <w:p>
      <w:pPr>
        <w:pageBreakBefore w:val="0"/>
        <w:widowControl w:val="0"/>
        <w:tabs>
          <w:tab w:val="left" w:pos="720"/>
        </w:tabs>
        <w:kinsoku/>
        <w:wordWrap/>
        <w:overflowPunct/>
        <w:topLinePunct w:val="0"/>
        <w:autoSpaceDE/>
        <w:autoSpaceDN/>
        <w:bidi w:val="0"/>
        <w:adjustRightInd w:val="0"/>
        <w:snapToGrid w:val="0"/>
        <w:spacing w:line="460" w:lineRule="exact"/>
        <w:ind w:right="0" w:rightChars="0" w:firstLine="422"/>
        <w:textAlignment w:val="auto"/>
        <w:rPr>
          <w:rFonts w:asciiTheme="minorEastAsia" w:hAnsiTheme="minorEastAsia" w:eastAsiaTheme="minorEastAsia"/>
          <w:b/>
          <w:color w:val="000000" w:themeColor="text1"/>
          <w:sz w:val="21"/>
          <w:szCs w:val="21"/>
        </w:rPr>
      </w:pPr>
      <w:r>
        <w:rPr>
          <w:rFonts w:hint="eastAsia" w:asciiTheme="minorEastAsia" w:hAnsiTheme="minorEastAsia" w:eastAsiaTheme="minorEastAsia"/>
          <w:b/>
          <w:color w:val="000000" w:themeColor="text1"/>
          <w:sz w:val="21"/>
          <w:szCs w:val="21"/>
        </w:rPr>
        <w:t>（</w:t>
      </w:r>
      <w:r>
        <w:rPr>
          <w:rFonts w:asciiTheme="minorEastAsia" w:hAnsiTheme="minorEastAsia" w:eastAsiaTheme="minorEastAsia"/>
          <w:b/>
          <w:color w:val="000000" w:themeColor="text1"/>
          <w:sz w:val="21"/>
          <w:szCs w:val="21"/>
        </w:rPr>
        <w:t>3）</w:t>
      </w:r>
      <w:r>
        <w:rPr>
          <w:rFonts w:hint="eastAsia" w:asciiTheme="minorEastAsia" w:hAnsiTheme="minorEastAsia" w:eastAsiaTheme="minorEastAsia"/>
          <w:b/>
          <w:color w:val="000000" w:themeColor="text1"/>
          <w:sz w:val="21"/>
          <w:szCs w:val="21"/>
        </w:rPr>
        <w:t>专业课</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该模块国家开放大学考试最低学分为13学分，模块设置最低学分为31学分。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的主要专业课程有：《特种设备安全》、《事故管理与应急处置》、《职业卫生基础》、《电气安全技术》、《安全评价》、《工程项目管理》、《防火防爆技术》、《安全监测与监控》、《安全法规》、《高危行业安全》等课程。</w:t>
      </w:r>
    </w:p>
    <w:p>
      <w:pPr>
        <w:pageBreakBefore w:val="0"/>
        <w:widowControl w:val="0"/>
        <w:kinsoku/>
        <w:wordWrap/>
        <w:overflowPunct/>
        <w:topLinePunct w:val="0"/>
        <w:autoSpaceDE/>
        <w:autoSpaceDN/>
        <w:bidi w:val="0"/>
        <w:spacing w:line="460" w:lineRule="exact"/>
        <w:ind w:right="0" w:rightChars="0" w:firstLine="422"/>
        <w:textAlignment w:val="auto"/>
        <w:rPr>
          <w:rFonts w:asciiTheme="minorEastAsia" w:hAnsiTheme="minorEastAsia" w:eastAsiaTheme="minorEastAsia"/>
          <w:b/>
          <w:sz w:val="21"/>
          <w:szCs w:val="21"/>
        </w:rPr>
      </w:pPr>
      <w:r>
        <w:rPr>
          <w:rFonts w:hint="eastAsia" w:asciiTheme="minorEastAsia" w:hAnsiTheme="minorEastAsia" w:eastAsiaTheme="minorEastAsia"/>
          <w:b/>
          <w:sz w:val="21"/>
          <w:szCs w:val="21"/>
        </w:rPr>
        <w:t>（4</w:t>
      </w:r>
      <w:r>
        <w:rPr>
          <w:rFonts w:asciiTheme="minorEastAsia" w:hAnsiTheme="minorEastAsia" w:eastAsiaTheme="minorEastAsia"/>
          <w:b/>
          <w:sz w:val="21"/>
          <w:szCs w:val="21"/>
        </w:rPr>
        <w:t>）</w:t>
      </w:r>
      <w:r>
        <w:rPr>
          <w:rFonts w:hint="eastAsia" w:asciiTheme="minorEastAsia" w:hAnsiTheme="minorEastAsia" w:eastAsiaTheme="minorEastAsia"/>
          <w:b/>
          <w:sz w:val="21"/>
          <w:szCs w:val="21"/>
        </w:rPr>
        <w:t>通</w:t>
      </w:r>
      <w:r>
        <w:rPr>
          <w:rFonts w:asciiTheme="minorEastAsia" w:hAnsiTheme="minorEastAsia" w:eastAsiaTheme="minorEastAsia"/>
          <w:b/>
          <w:sz w:val="21"/>
          <w:szCs w:val="21"/>
        </w:rPr>
        <w:t>识课</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该模块国家开放大学考试最低学分为0学分，模块设置最低学分为10学分。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该模块的主要专业课程有：《地域文化》、《社交礼仪》、《实用法律基础》、《实用写作》、《汉唐文化》等课程。</w:t>
      </w:r>
    </w:p>
    <w:p>
      <w:pPr>
        <w:pageBreakBefore w:val="0"/>
        <w:widowControl w:val="0"/>
        <w:tabs>
          <w:tab w:val="left" w:pos="720"/>
        </w:tabs>
        <w:kinsoku/>
        <w:wordWrap/>
        <w:overflowPunct/>
        <w:topLinePunct w:val="0"/>
        <w:autoSpaceDE/>
        <w:autoSpaceDN/>
        <w:bidi w:val="0"/>
        <w:adjustRightInd w:val="0"/>
        <w:snapToGrid w:val="0"/>
        <w:spacing w:line="460" w:lineRule="exact"/>
        <w:ind w:right="0" w:rightChars="0" w:firstLine="422"/>
        <w:textAlignment w:val="auto"/>
        <w:rPr>
          <w:rFonts w:asciiTheme="minorEastAsia" w:hAnsiTheme="minorEastAsia" w:eastAsiaTheme="minorEastAsia"/>
          <w:b/>
          <w:color w:val="000000" w:themeColor="text1"/>
          <w:sz w:val="21"/>
          <w:szCs w:val="21"/>
        </w:rPr>
      </w:pPr>
      <w:r>
        <w:rPr>
          <w:rFonts w:hint="eastAsia" w:asciiTheme="minorEastAsia" w:hAnsiTheme="minorEastAsia" w:eastAsiaTheme="minorEastAsia"/>
          <w:b/>
          <w:color w:val="000000" w:themeColor="text1"/>
          <w:sz w:val="21"/>
          <w:szCs w:val="21"/>
        </w:rPr>
        <w:t>（</w:t>
      </w:r>
      <w:r>
        <w:rPr>
          <w:rFonts w:asciiTheme="minorEastAsia" w:hAnsiTheme="minorEastAsia" w:eastAsiaTheme="minorEastAsia"/>
          <w:b/>
          <w:color w:val="000000" w:themeColor="text1"/>
          <w:sz w:val="21"/>
          <w:szCs w:val="21"/>
        </w:rPr>
        <w:t>5）综合实践</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该模块国家开放大学考试最低学分为0学分，模块设置最低学分为20学分。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学生均应参加专业规则中规定的必修综合实践（实训）环节。主要有：《毕业实践》、《工业通风除尘课程设计》、《防火防爆课程设计》、《安全评价课程设计》、《职业危害因素分析评价》。</w:t>
      </w:r>
    </w:p>
    <w:p>
      <w:pPr>
        <w:pageBreakBefore w:val="0"/>
        <w:widowControl w:val="0"/>
        <w:tabs>
          <w:tab w:val="left" w:pos="720"/>
        </w:tabs>
        <w:kinsoku/>
        <w:wordWrap/>
        <w:overflowPunct/>
        <w:topLinePunct w:val="0"/>
        <w:autoSpaceDE/>
        <w:autoSpaceDN/>
        <w:bidi w:val="0"/>
        <w:adjustRightInd w:val="0"/>
        <w:snapToGrid w:val="0"/>
        <w:spacing w:line="460" w:lineRule="exact"/>
        <w:ind w:right="0" w:rightChars="0" w:firstLine="422"/>
        <w:textAlignment w:val="auto"/>
        <w:rPr>
          <w:rFonts w:asciiTheme="minorEastAsia" w:hAnsiTheme="minorEastAsia" w:eastAsiaTheme="minorEastAsia"/>
          <w:b/>
          <w:color w:val="000000" w:themeColor="text1"/>
          <w:sz w:val="21"/>
          <w:szCs w:val="21"/>
        </w:rPr>
      </w:pPr>
      <w:r>
        <w:rPr>
          <w:rFonts w:asciiTheme="minorEastAsia" w:hAnsiTheme="minorEastAsia" w:eastAsiaTheme="minorEastAsia"/>
          <w:b/>
          <w:color w:val="000000" w:themeColor="text1"/>
          <w:sz w:val="21"/>
          <w:szCs w:val="21"/>
        </w:rPr>
        <w:t>（6</w:t>
      </w:r>
      <w:r>
        <w:rPr>
          <w:rFonts w:hint="eastAsia" w:asciiTheme="minorEastAsia" w:hAnsiTheme="minorEastAsia" w:eastAsiaTheme="minorEastAsia"/>
          <w:b/>
          <w:color w:val="000000" w:themeColor="text1"/>
          <w:sz w:val="21"/>
          <w:szCs w:val="21"/>
        </w:rPr>
        <w:t>）特色课</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该模块国家开放大学考试最低学分为0学分，模块设置最低学分为9学分。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特色课是“助力计划”专业特设的课程，国家开放大学西安分部根据专业发展及人才培养需求开设的课程，主要课程有：《消防安全》、《建筑施工安全》、《安全工程师培训课程》等。</w:t>
      </w:r>
    </w:p>
    <w:p>
      <w:pPr>
        <w:pStyle w:val="10"/>
        <w:pageBreakBefore w:val="0"/>
        <w:widowControl w:val="0"/>
        <w:kinsoku/>
        <w:wordWrap/>
        <w:overflowPunct/>
        <w:topLinePunct w:val="0"/>
        <w:autoSpaceDE/>
        <w:autoSpaceDN/>
        <w:bidi w:val="0"/>
        <w:spacing w:line="460" w:lineRule="exact"/>
        <w:ind w:right="0" w:rightChars="0" w:firstLine="422"/>
        <w:textAlignment w:val="auto"/>
        <w:rPr>
          <w:rFonts w:asciiTheme="minorEastAsia" w:hAnsiTheme="minorEastAsia" w:eastAsiaTheme="minorEastAsia"/>
          <w:sz w:val="21"/>
          <w:szCs w:val="21"/>
        </w:rPr>
      </w:pPr>
      <w:bookmarkStart w:id="25" w:name="_Toc454441815"/>
      <w:r>
        <w:rPr>
          <w:rFonts w:cs="Times New Roman" w:asciiTheme="minorEastAsia" w:hAnsiTheme="minorEastAsia" w:eastAsiaTheme="minorEastAsia"/>
          <w:sz w:val="21"/>
          <w:szCs w:val="21"/>
        </w:rPr>
        <w:t>3.</w:t>
      </w:r>
      <w:r>
        <w:rPr>
          <w:rFonts w:hint="eastAsia" w:asciiTheme="minorEastAsia" w:hAnsiTheme="minorEastAsia" w:eastAsiaTheme="minorEastAsia"/>
          <w:sz w:val="21"/>
          <w:szCs w:val="21"/>
        </w:rPr>
        <w:t>课程设置说明</w:t>
      </w:r>
      <w:bookmarkEnd w:id="25"/>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（1）统设必修课程严格执行“五个统一”，即统一课程名称、统一课程学分标准、统一教学大纲、统一教材、统一考试。</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（2）课程实践环节的成绩记入课程形成性考核成绩，没有完成课程实践环节不能取得课程学分。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（3）专业规则表中各课程的开设学期，是根据专业知识结构提供的课程先修、后续关系确定的，供学生选课时参考。</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w:t>
      </w:r>
      <w:r>
        <w:rPr>
          <w:rFonts w:hint="eastAsia" w:asciiTheme="minorEastAsia" w:hAnsiTheme="minorEastAsia" w:eastAsiaTheme="minorEastAsia"/>
          <w:sz w:val="21"/>
          <w:szCs w:val="21"/>
        </w:rPr>
        <w:fldChar w:fldCharType="begin"/>
      </w:r>
      <w:r>
        <w:rPr>
          <w:rFonts w:hint="eastAsia" w:asciiTheme="minorEastAsia" w:hAnsiTheme="minorEastAsia" w:eastAsiaTheme="minorEastAsia"/>
          <w:sz w:val="21"/>
          <w:szCs w:val="21"/>
        </w:rPr>
        <w:instrText xml:space="preserve"> HYPERLINK "http://www.baidu.com/link?url=kPlawYE6ZLvIqAtyxd7oCR-fjrcNLod2K9E1qFLjXs8WU0weWXOMDAYhobNRJQy1" \t "_blank" </w:instrText>
      </w:r>
      <w:r>
        <w:rPr>
          <w:rFonts w:hint="eastAsia" w:asciiTheme="minorEastAsia" w:hAnsiTheme="minorEastAsia" w:eastAsiaTheme="minorEastAsia"/>
          <w:sz w:val="21"/>
          <w:szCs w:val="21"/>
        </w:rPr>
        <w:fldChar w:fldCharType="separate"/>
      </w:r>
      <w:r>
        <w:rPr>
          <w:rFonts w:hint="eastAsia" w:asciiTheme="minorEastAsia" w:hAnsiTheme="minorEastAsia" w:eastAsiaTheme="minorEastAsia"/>
          <w:sz w:val="21"/>
          <w:szCs w:val="21"/>
        </w:rPr>
        <w:t>以职业能力培养为核心构建专业课程体系</w:t>
      </w:r>
      <w:r>
        <w:rPr>
          <w:rFonts w:hint="eastAsia" w:asciiTheme="minorEastAsia" w:hAnsiTheme="minorEastAsia" w:eastAsiaTheme="minorEastAsia"/>
          <w:sz w:val="21"/>
          <w:szCs w:val="21"/>
        </w:rPr>
        <w:fldChar w:fldCharType="end"/>
      </w:r>
      <w:r>
        <w:rPr>
          <w:rFonts w:hint="eastAsia" w:asciiTheme="minorEastAsia" w:hAnsiTheme="minorEastAsia" w:eastAsiaTheme="minorEastAsia"/>
          <w:sz w:val="21"/>
          <w:szCs w:val="21"/>
        </w:rPr>
        <w:t>以课程体系建设为核心，围绕课程模块，建立起与模块对应的校企合作共建共享践实训体系，形成互惠互利的联动机制。</w:t>
      </w:r>
    </w:p>
    <w:p>
      <w:pPr>
        <w:pStyle w:val="10"/>
        <w:pageBreakBefore w:val="0"/>
        <w:widowControl w:val="0"/>
        <w:kinsoku/>
        <w:wordWrap/>
        <w:overflowPunct/>
        <w:topLinePunct w:val="0"/>
        <w:autoSpaceDE/>
        <w:autoSpaceDN/>
        <w:bidi w:val="0"/>
        <w:spacing w:after="120" w:line="460" w:lineRule="exact"/>
        <w:ind w:right="0" w:rightChars="0" w:firstLine="422"/>
        <w:textAlignment w:val="auto"/>
        <w:rPr>
          <w:rFonts w:cs="Times New Roman" w:asciiTheme="minorEastAsia" w:hAnsiTheme="minorEastAsia" w:eastAsiaTheme="minorEastAsia"/>
          <w:sz w:val="21"/>
          <w:szCs w:val="21"/>
        </w:rPr>
      </w:pPr>
      <w:bookmarkStart w:id="26" w:name="_Toc454441816"/>
      <w:r>
        <w:rPr>
          <w:rFonts w:cs="Times New Roman" w:asciiTheme="minorEastAsia" w:hAnsiTheme="minorEastAsia" w:eastAsiaTheme="minorEastAsia"/>
          <w:sz w:val="21"/>
          <w:szCs w:val="21"/>
        </w:rPr>
        <w:t>4.打造三级实验体系</w:t>
      </w:r>
      <w:bookmarkEnd w:id="26"/>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第1级：课内实验教学</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基本理论的验证性实验、基本实验技能训练和基础性研究方法训练。</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第2级：独立开设的课程实习</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以专业核心基础课和主干课程为主，强化基础性、设计性训练，实验内容具有一定综合性和难度。</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第3级：课程群综合性项目开发实训</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设置“以培养并训练学生综合运用课程群的系统知识、分析与解决实际问题能力”为目的的设计性、综合性和创新性的项目开发实训。</w:t>
      </w:r>
    </w:p>
    <w:p>
      <w:pPr>
        <w:pStyle w:val="10"/>
        <w:pageBreakBefore w:val="0"/>
        <w:widowControl w:val="0"/>
        <w:numPr>
          <w:ilvl w:val="0"/>
          <w:numId w:val="1"/>
        </w:numPr>
        <w:kinsoku/>
        <w:wordWrap/>
        <w:overflowPunct/>
        <w:topLinePunct w:val="0"/>
        <w:autoSpaceDE/>
        <w:autoSpaceDN/>
        <w:bidi w:val="0"/>
        <w:spacing w:line="460" w:lineRule="exact"/>
        <w:ind w:right="0" w:rightChars="0" w:firstLineChars="0"/>
        <w:textAlignment w:val="auto"/>
        <w:rPr>
          <w:rFonts w:cs="Times New Roman" w:asciiTheme="minorEastAsia" w:hAnsiTheme="minorEastAsia" w:eastAsiaTheme="minorEastAsia"/>
          <w:sz w:val="21"/>
          <w:szCs w:val="21"/>
        </w:rPr>
      </w:pPr>
      <w:bookmarkStart w:id="27" w:name="_Toc454441817"/>
      <w:r>
        <w:rPr>
          <w:rFonts w:cs="Times New Roman" w:asciiTheme="minorEastAsia" w:hAnsiTheme="minorEastAsia" w:eastAsiaTheme="minorEastAsia"/>
          <w:sz w:val="21"/>
          <w:szCs w:val="21"/>
        </w:rPr>
        <w:t>考核</w:t>
      </w:r>
      <w:bookmarkEnd w:id="27"/>
    </w:p>
    <w:p>
      <w:pPr>
        <w:pStyle w:val="5"/>
        <w:pageBreakBefore w:val="0"/>
        <w:widowControl w:val="0"/>
        <w:kinsoku/>
        <w:wordWrap/>
        <w:overflowPunct/>
        <w:topLinePunct w:val="0"/>
        <w:autoSpaceDE/>
        <w:autoSpaceDN/>
        <w:bidi w:val="0"/>
        <w:spacing w:line="460" w:lineRule="exact"/>
        <w:ind w:right="0" w:rightChars="0" w:firstLine="420"/>
        <w:textAlignment w:val="auto"/>
        <w:rPr>
          <w:rFonts w:cs="Times New Roman" w:asciiTheme="minorEastAsia" w:hAnsiTheme="minorEastAsia" w:eastAsiaTheme="minorEastAsia"/>
          <w:b/>
          <w:color w:val="000000" w:themeColor="text1"/>
          <w:sz w:val="21"/>
        </w:rPr>
      </w:pPr>
      <w:r>
        <w:rPr>
          <w:rFonts w:cs="Times New Roman" w:asciiTheme="minorEastAsia" w:hAnsiTheme="minorEastAsia" w:eastAsiaTheme="minorEastAsia"/>
          <w:color w:val="000000" w:themeColor="text1"/>
          <w:sz w:val="21"/>
        </w:rPr>
        <w:t>各门课程的成绩均由形成性考核与课程终结性考试两部分组成。形成性考核成绩由出勤率、平时作业两部分构成。</w:t>
      </w:r>
    </w:p>
    <w:p>
      <w:pPr>
        <w:pStyle w:val="10"/>
        <w:pageBreakBefore w:val="0"/>
        <w:widowControl w:val="0"/>
        <w:numPr>
          <w:ilvl w:val="0"/>
          <w:numId w:val="1"/>
        </w:numPr>
        <w:kinsoku/>
        <w:wordWrap/>
        <w:overflowPunct/>
        <w:topLinePunct w:val="0"/>
        <w:autoSpaceDE/>
        <w:autoSpaceDN/>
        <w:bidi w:val="0"/>
        <w:spacing w:line="460" w:lineRule="exact"/>
        <w:ind w:right="0" w:rightChars="0" w:firstLineChars="0"/>
        <w:textAlignment w:val="auto"/>
        <w:rPr>
          <w:rFonts w:cs="Times New Roman" w:asciiTheme="minorEastAsia" w:hAnsiTheme="minorEastAsia" w:eastAsiaTheme="minorEastAsia"/>
          <w:sz w:val="21"/>
          <w:szCs w:val="21"/>
        </w:rPr>
      </w:pPr>
      <w:bookmarkStart w:id="28" w:name="_Toc454441818"/>
      <w:r>
        <w:rPr>
          <w:rFonts w:cs="Times New Roman" w:asciiTheme="minorEastAsia" w:hAnsiTheme="minorEastAsia" w:eastAsiaTheme="minorEastAsia"/>
          <w:sz w:val="21"/>
          <w:szCs w:val="21"/>
        </w:rPr>
        <w:t>毕业规则</w:t>
      </w:r>
      <w:bookmarkEnd w:id="28"/>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本专业各模块毕业最低学分依次是：</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公共基础课：9学分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专业基础课：24学分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专业课：23分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通识课：2学分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综合实践课：14学分</w:t>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特色课：0学分</w:t>
      </w:r>
      <w:r>
        <w:rPr>
          <w:rFonts w:hint="eastAsia" w:asciiTheme="minorEastAsia" w:hAnsiTheme="minorEastAsia" w:eastAsiaTheme="minorEastAsia"/>
          <w:sz w:val="21"/>
          <w:szCs w:val="21"/>
        </w:rPr>
        <w:tab/>
      </w:r>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本专业最低毕业总学分为76学分。</w:t>
      </w:r>
    </w:p>
    <w:p>
      <w:pPr>
        <w:pStyle w:val="14"/>
        <w:pageBreakBefore w:val="0"/>
        <w:widowControl w:val="0"/>
        <w:kinsoku/>
        <w:wordWrap/>
        <w:overflowPunct/>
        <w:topLinePunct w:val="0"/>
        <w:autoSpaceDE/>
        <w:autoSpaceDN/>
        <w:bidi w:val="0"/>
        <w:spacing w:beforeLines="100" w:afterLines="100" w:line="460" w:lineRule="exact"/>
        <w:ind w:right="0" w:rightChars="0" w:firstLine="482"/>
        <w:textAlignment w:val="auto"/>
        <w:rPr>
          <w:rFonts w:asciiTheme="minorEastAsia" w:hAnsiTheme="minorEastAsia" w:eastAsiaTheme="minorEastAsia"/>
          <w:sz w:val="24"/>
          <w:szCs w:val="24"/>
        </w:rPr>
      </w:pPr>
      <w:bookmarkStart w:id="29" w:name="_Toc454441819"/>
      <w:r>
        <w:rPr>
          <w:rFonts w:hint="eastAsia" w:asciiTheme="minorEastAsia" w:hAnsiTheme="minorEastAsia" w:eastAsiaTheme="minorEastAsia"/>
          <w:sz w:val="24"/>
          <w:szCs w:val="24"/>
        </w:rPr>
        <w:t>四、专业建设思路</w:t>
      </w:r>
      <w:bookmarkEnd w:id="29"/>
    </w:p>
    <w:p>
      <w:pPr>
        <w:pStyle w:val="2"/>
        <w:pageBreakBefore w:val="0"/>
        <w:widowControl w:val="0"/>
        <w:kinsoku/>
        <w:wordWrap/>
        <w:overflowPunct/>
        <w:topLinePunct w:val="0"/>
        <w:autoSpaceDE/>
        <w:autoSpaceDN/>
        <w:bidi w:val="0"/>
        <w:spacing w:before="326" w:after="326" w:line="460" w:lineRule="exact"/>
        <w:ind w:right="0" w:rightChars="0" w:firstLine="422"/>
        <w:textAlignment w:val="auto"/>
        <w:rPr>
          <w:rFonts w:asciiTheme="minorEastAsia" w:hAnsiTheme="minorEastAsia" w:eastAsiaTheme="minorEastAsia"/>
          <w:sz w:val="21"/>
          <w:szCs w:val="21"/>
        </w:rPr>
      </w:pPr>
      <w:bookmarkStart w:id="30" w:name="_Toc454441820"/>
      <w:r>
        <w:rPr>
          <w:rFonts w:hint="eastAsia" w:asciiTheme="minorEastAsia" w:hAnsiTheme="minorEastAsia" w:eastAsiaTheme="minorEastAsia"/>
          <w:sz w:val="21"/>
          <w:szCs w:val="21"/>
        </w:rPr>
        <w:t>（一）公共基础课程</w:t>
      </w:r>
      <w:bookmarkEnd w:id="30"/>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公共基础课程依托国家开放大学已有的教学资源，如《国家开放大学学习指南》、《中国特色社会主义理论体系概论》、《计算机文化基础》、《英语Ⅰ（1）》、《高等数学基础》等课程，采用国家开放大学的教材以及丰富的教学资源进行课程教学。</w:t>
      </w:r>
    </w:p>
    <w:p>
      <w:pPr>
        <w:pStyle w:val="2"/>
        <w:pageBreakBefore w:val="0"/>
        <w:widowControl w:val="0"/>
        <w:kinsoku/>
        <w:wordWrap/>
        <w:overflowPunct/>
        <w:topLinePunct w:val="0"/>
        <w:autoSpaceDE/>
        <w:autoSpaceDN/>
        <w:bidi w:val="0"/>
        <w:spacing w:before="326" w:after="326" w:line="460" w:lineRule="exact"/>
        <w:ind w:right="0" w:rightChars="0" w:firstLine="422"/>
        <w:textAlignment w:val="auto"/>
        <w:rPr>
          <w:rFonts w:asciiTheme="minorEastAsia" w:hAnsiTheme="minorEastAsia" w:eastAsiaTheme="minorEastAsia"/>
          <w:sz w:val="21"/>
          <w:szCs w:val="21"/>
        </w:rPr>
      </w:pPr>
      <w:bookmarkStart w:id="31" w:name="_Toc454441821"/>
      <w:r>
        <w:rPr>
          <w:rFonts w:hint="eastAsia" w:asciiTheme="minorEastAsia" w:hAnsiTheme="minorEastAsia" w:eastAsiaTheme="minorEastAsia"/>
          <w:sz w:val="21"/>
          <w:szCs w:val="21"/>
        </w:rPr>
        <w:t>（二）专业</w:t>
      </w:r>
      <w:r>
        <w:rPr>
          <w:rFonts w:asciiTheme="minorEastAsia" w:hAnsiTheme="minorEastAsia" w:eastAsiaTheme="minorEastAsia"/>
          <w:sz w:val="21"/>
          <w:szCs w:val="21"/>
        </w:rPr>
        <w:t>基础课和核心课</w:t>
      </w:r>
      <w:bookmarkEnd w:id="31"/>
    </w:p>
    <w:p>
      <w:pPr>
        <w:keepNext w:val="0"/>
        <w:keepLines w:val="0"/>
        <w:pageBreakBefore w:val="0"/>
        <w:widowControl w:val="0"/>
        <w:kinsoku/>
        <w:wordWrap/>
        <w:overflowPunct/>
        <w:topLinePunct w:val="0"/>
        <w:autoSpaceDE/>
        <w:autoSpaceDN/>
        <w:bidi w:val="0"/>
        <w:spacing w:line="460" w:lineRule="exact"/>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由于国家开放大学西安分部专业建设队伍的有限，不能全面建设专业基础课和核心课的教学资源，可以采取分步的方式进行：对于专业基础课程，引进西安建筑科技大学和西安科技大学等普通高校的课程教学资源，针对电大学生的实际情况，聘请高校的专家教授进行系统讲授资源的录制；专业核心课程，组建课程资源建设团队，和行业、高校人员共同进行资源开发。通过多种途径，促进系统教学和资源的共建共享。</w:t>
      </w:r>
    </w:p>
    <w:p>
      <w:pPr>
        <w:pStyle w:val="14"/>
        <w:pageBreakBefore w:val="0"/>
        <w:widowControl w:val="0"/>
        <w:tabs>
          <w:tab w:val="left" w:pos="2325"/>
        </w:tabs>
        <w:kinsoku/>
        <w:wordWrap/>
        <w:overflowPunct/>
        <w:topLinePunct w:val="0"/>
        <w:autoSpaceDE/>
        <w:autoSpaceDN/>
        <w:bidi w:val="0"/>
        <w:spacing w:beforeLines="100" w:afterLines="100" w:line="460" w:lineRule="exact"/>
        <w:ind w:right="0" w:rightChars="0" w:firstLine="482"/>
        <w:textAlignment w:val="auto"/>
        <w:rPr>
          <w:rFonts w:asciiTheme="minorEastAsia" w:hAnsiTheme="minorEastAsia" w:eastAsiaTheme="minorEastAsia"/>
          <w:sz w:val="24"/>
          <w:szCs w:val="24"/>
        </w:rPr>
      </w:pPr>
      <w:bookmarkStart w:id="32" w:name="_Toc454441822"/>
      <w:bookmarkStart w:id="33" w:name="_Toc310694659"/>
      <w:r>
        <w:rPr>
          <w:rFonts w:hint="eastAsia" w:asciiTheme="minorEastAsia" w:hAnsiTheme="minorEastAsia" w:eastAsiaTheme="minorEastAsia"/>
          <w:sz w:val="24"/>
          <w:szCs w:val="24"/>
        </w:rPr>
        <w:t>五、结论</w:t>
      </w:r>
      <w:bookmarkEnd w:id="32"/>
      <w:bookmarkEnd w:id="33"/>
      <w:r>
        <w:rPr>
          <w:rFonts w:asciiTheme="minorEastAsia" w:hAnsiTheme="minorEastAsia" w:eastAsiaTheme="minorEastAsia"/>
          <w:sz w:val="24"/>
          <w:szCs w:val="24"/>
        </w:rPr>
        <w:tab/>
      </w:r>
    </w:p>
    <w:p>
      <w:pPr>
        <w:pageBreakBefore w:val="0"/>
        <w:widowControl w:val="0"/>
        <w:kinsoku/>
        <w:wordWrap/>
        <w:overflowPunct/>
        <w:topLinePunct w:val="0"/>
        <w:autoSpaceDE/>
        <w:autoSpaceDN/>
        <w:bidi w:val="0"/>
        <w:spacing w:line="460" w:lineRule="exact"/>
        <w:ind w:right="0" w:rightChars="0" w:firstLine="420"/>
        <w:jc w:val="left"/>
        <w:textAlignment w:val="auto"/>
      </w:pPr>
      <w:r>
        <w:rPr>
          <w:rFonts w:hint="eastAsia" w:asciiTheme="minorEastAsia" w:hAnsiTheme="minorEastAsia" w:eastAsiaTheme="minorEastAsia"/>
          <w:sz w:val="21"/>
          <w:szCs w:val="21"/>
        </w:rPr>
        <w:t>综上所述，国家开放大学</w:t>
      </w:r>
      <w:r>
        <w:rPr>
          <w:rFonts w:asciiTheme="minorEastAsia" w:hAnsiTheme="minorEastAsia" w:eastAsiaTheme="minorEastAsia"/>
          <w:sz w:val="21"/>
          <w:szCs w:val="21"/>
        </w:rPr>
        <w:t>西安分部</w:t>
      </w:r>
      <w:r>
        <w:rPr>
          <w:rFonts w:hint="eastAsia" w:asciiTheme="minorEastAsia" w:hAnsiTheme="minorEastAsia" w:eastAsiaTheme="minorEastAsia"/>
          <w:sz w:val="21"/>
          <w:szCs w:val="21"/>
        </w:rPr>
        <w:t>开设安全技术与</w:t>
      </w:r>
      <w:r>
        <w:rPr>
          <w:rFonts w:asciiTheme="minorEastAsia" w:hAnsiTheme="minorEastAsia" w:eastAsiaTheme="minorEastAsia"/>
          <w:sz w:val="21"/>
          <w:szCs w:val="21"/>
        </w:rPr>
        <w:t>管理</w:t>
      </w:r>
      <w:r>
        <w:rPr>
          <w:rFonts w:hint="eastAsia" w:asciiTheme="minorEastAsia" w:hAnsiTheme="minorEastAsia" w:eastAsiaTheme="minorEastAsia"/>
          <w:sz w:val="21"/>
          <w:szCs w:val="21"/>
        </w:rPr>
        <w:t>专业的条件已经具备，时机已经成熟，建议于</w:t>
      </w:r>
      <w:r>
        <w:rPr>
          <w:rFonts w:asciiTheme="minorEastAsia" w:hAnsiTheme="minorEastAsia" w:eastAsiaTheme="minorEastAsia"/>
          <w:sz w:val="21"/>
          <w:szCs w:val="21"/>
        </w:rPr>
        <w:t>2016</w:t>
      </w:r>
      <w:r>
        <w:rPr>
          <w:rFonts w:hint="eastAsia" w:asciiTheme="minorEastAsia" w:hAnsiTheme="minorEastAsia" w:eastAsiaTheme="minorEastAsia"/>
          <w:sz w:val="21"/>
          <w:szCs w:val="21"/>
        </w:rPr>
        <w:t>年秋季开设此专业。</w:t>
      </w:r>
    </w:p>
    <w:p>
      <w:pPr>
        <w:widowControl/>
        <w:tabs>
          <w:tab w:val="center" w:pos="4592"/>
          <w:tab w:val="left" w:pos="7200"/>
        </w:tabs>
        <w:spacing w:afterLines="100"/>
        <w:ind w:firstLine="643"/>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国家开放大学专业设置申请表</w:t>
      </w:r>
    </w:p>
    <w:tbl>
      <w:tblPr>
        <w:tblStyle w:val="1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618"/>
        <w:gridCol w:w="1498"/>
        <w:gridCol w:w="1202"/>
        <w:gridCol w:w="2058"/>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1271" w:type="dxa"/>
            <w:vAlign w:val="center"/>
          </w:tcPr>
          <w:p>
            <w:pPr>
              <w:spacing w:line="500" w:lineRule="exact"/>
              <w:ind w:left="0" w:leftChars="0" w:firstLine="0" w:firstLineChars="0"/>
              <w:jc w:val="both"/>
              <w:rPr>
                <w:rFonts w:cs="仿宋_GB2312" w:asciiTheme="minorEastAsia" w:hAnsiTheme="minorEastAsia" w:eastAsiaTheme="minorEastAsia"/>
                <w:b/>
                <w:color w:val="000000"/>
                <w:kern w:val="0"/>
              </w:rPr>
            </w:pPr>
            <w:r>
              <w:rPr>
                <w:rFonts w:hint="eastAsia" w:cs="仿宋_GB2312" w:asciiTheme="minorEastAsia" w:hAnsiTheme="minorEastAsia" w:eastAsiaTheme="minorEastAsia"/>
                <w:b/>
                <w:color w:val="000000"/>
                <w:kern w:val="0"/>
              </w:rPr>
              <w:t>申请单位</w:t>
            </w:r>
          </w:p>
        </w:tc>
        <w:tc>
          <w:tcPr>
            <w:tcW w:w="2618" w:type="dxa"/>
            <w:vAlign w:val="center"/>
          </w:tcPr>
          <w:p>
            <w:pPr>
              <w:spacing w:line="324" w:lineRule="auto"/>
              <w:ind w:left="0" w:leftChars="0" w:firstLine="0" w:firstLineChars="0"/>
              <w:jc w:val="both"/>
              <w:rPr>
                <w:rFonts w:asciiTheme="minorEastAsia" w:hAnsiTheme="minorEastAsia" w:eastAsiaTheme="minorEastAsia"/>
                <w:b/>
                <w:sz w:val="24"/>
                <w:szCs w:val="21"/>
              </w:rPr>
            </w:pPr>
            <w:r>
              <w:rPr>
                <w:rFonts w:hint="eastAsia" w:asciiTheme="minorEastAsia" w:hAnsiTheme="minorEastAsia" w:eastAsiaTheme="minorEastAsia"/>
                <w:sz w:val="24"/>
                <w:szCs w:val="21"/>
              </w:rPr>
              <w:t>国家开放大学西安分部</w:t>
            </w:r>
          </w:p>
        </w:tc>
        <w:tc>
          <w:tcPr>
            <w:tcW w:w="2700" w:type="dxa"/>
            <w:gridSpan w:val="2"/>
            <w:vAlign w:val="center"/>
          </w:tcPr>
          <w:p>
            <w:pPr>
              <w:spacing w:line="500" w:lineRule="exact"/>
              <w:ind w:firstLine="482"/>
              <w:jc w:val="both"/>
              <w:rPr>
                <w:rFonts w:cs="仿宋_GB2312" w:asciiTheme="minorEastAsia" w:hAnsiTheme="minorEastAsia" w:eastAsiaTheme="minorEastAsia"/>
                <w:b/>
                <w:color w:val="000000"/>
                <w:kern w:val="0"/>
              </w:rPr>
            </w:pPr>
            <w:r>
              <w:rPr>
                <w:rFonts w:hint="eastAsia" w:cs="仿宋_GB2312" w:asciiTheme="minorEastAsia" w:hAnsiTheme="minorEastAsia" w:eastAsiaTheme="minorEastAsia"/>
                <w:b/>
                <w:color w:val="000000"/>
                <w:kern w:val="0"/>
              </w:rPr>
              <w:t>专业名称</w:t>
            </w:r>
          </w:p>
        </w:tc>
        <w:tc>
          <w:tcPr>
            <w:tcW w:w="3050" w:type="dxa"/>
            <w:gridSpan w:val="2"/>
            <w:vAlign w:val="center"/>
          </w:tcPr>
          <w:p>
            <w:pPr>
              <w:spacing w:line="500" w:lineRule="exact"/>
              <w:ind w:firstLine="480"/>
              <w:jc w:val="both"/>
              <w:rPr>
                <w:rFonts w:asciiTheme="minorEastAsia" w:hAnsiTheme="minorEastAsia" w:eastAsiaTheme="minorEastAsia"/>
                <w:szCs w:val="21"/>
              </w:rPr>
            </w:pPr>
            <w:r>
              <w:rPr>
                <w:rFonts w:hint="eastAsia" w:asciiTheme="minorEastAsia" w:hAnsiTheme="minorEastAsia" w:eastAsiaTheme="minorEastAsia"/>
                <w:szCs w:val="21"/>
              </w:rPr>
              <w:t>安全技术与管理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jc w:val="center"/>
        </w:trPr>
        <w:tc>
          <w:tcPr>
            <w:tcW w:w="1271" w:type="dxa"/>
            <w:vAlign w:val="center"/>
          </w:tcPr>
          <w:p>
            <w:pPr>
              <w:spacing w:line="500" w:lineRule="exact"/>
              <w:ind w:left="0" w:leftChars="0" w:firstLine="0" w:firstLineChars="0"/>
              <w:jc w:val="both"/>
              <w:rPr>
                <w:rFonts w:cs="仿宋_GB2312" w:asciiTheme="minorEastAsia" w:hAnsiTheme="minorEastAsia" w:eastAsiaTheme="minorEastAsia"/>
                <w:b/>
                <w:color w:val="000000"/>
                <w:kern w:val="0"/>
              </w:rPr>
            </w:pPr>
            <w:r>
              <w:rPr>
                <w:rFonts w:hint="eastAsia" w:cs="仿宋_GB2312" w:asciiTheme="minorEastAsia" w:hAnsiTheme="minorEastAsia" w:eastAsiaTheme="minorEastAsia"/>
                <w:b/>
                <w:color w:val="000000"/>
                <w:kern w:val="0"/>
              </w:rPr>
              <w:t>学科门类</w:t>
            </w:r>
          </w:p>
        </w:tc>
        <w:tc>
          <w:tcPr>
            <w:tcW w:w="2618" w:type="dxa"/>
            <w:vAlign w:val="center"/>
          </w:tcPr>
          <w:p>
            <w:pPr>
              <w:spacing w:line="324" w:lineRule="auto"/>
              <w:ind w:left="0" w:leftChars="0" w:firstLine="0" w:firstLineChars="0"/>
              <w:jc w:val="both"/>
              <w:rPr>
                <w:rFonts w:eastAsiaTheme="minorEastAsia"/>
                <w:sz w:val="24"/>
                <w:szCs w:val="21"/>
              </w:rPr>
            </w:pPr>
            <w:r>
              <w:rPr>
                <w:rFonts w:eastAsiaTheme="minorEastAsia"/>
                <w:sz w:val="24"/>
                <w:szCs w:val="21"/>
              </w:rPr>
              <w:t>资源环境与安全大类</w:t>
            </w:r>
          </w:p>
          <w:p>
            <w:pPr>
              <w:spacing w:line="324" w:lineRule="auto"/>
              <w:ind w:left="0" w:leftChars="0" w:firstLine="0" w:firstLineChars="0"/>
              <w:jc w:val="both"/>
              <w:rPr>
                <w:rFonts w:eastAsiaTheme="minorEastAsia"/>
                <w:sz w:val="24"/>
                <w:szCs w:val="24"/>
              </w:rPr>
            </w:pPr>
            <w:r>
              <w:rPr>
                <w:rFonts w:eastAsiaTheme="minorEastAsia"/>
                <w:sz w:val="24"/>
                <w:szCs w:val="21"/>
              </w:rPr>
              <w:t>安全类</w:t>
            </w:r>
          </w:p>
        </w:tc>
        <w:tc>
          <w:tcPr>
            <w:tcW w:w="1498" w:type="dxa"/>
            <w:vAlign w:val="center"/>
          </w:tcPr>
          <w:p>
            <w:pPr>
              <w:spacing w:line="500" w:lineRule="exact"/>
              <w:ind w:left="0" w:leftChars="0" w:firstLine="0" w:firstLineChars="0"/>
              <w:jc w:val="left"/>
              <w:rPr>
                <w:rFonts w:eastAsiaTheme="minorEastAsia"/>
                <w:b/>
              </w:rPr>
            </w:pPr>
            <w:r>
              <w:rPr>
                <w:rFonts w:eastAsiaTheme="minorEastAsia"/>
                <w:b/>
              </w:rPr>
              <w:t>专业代码</w:t>
            </w:r>
          </w:p>
        </w:tc>
        <w:tc>
          <w:tcPr>
            <w:tcW w:w="1202" w:type="dxa"/>
            <w:vAlign w:val="center"/>
          </w:tcPr>
          <w:p>
            <w:pPr>
              <w:spacing w:line="500" w:lineRule="exact"/>
              <w:ind w:left="0" w:leftChars="0" w:firstLine="0" w:firstLineChars="0"/>
              <w:jc w:val="both"/>
              <w:rPr>
                <w:rFonts w:eastAsiaTheme="minorEastAsia"/>
                <w:color w:val="000000"/>
                <w:kern w:val="0"/>
                <w:szCs w:val="21"/>
              </w:rPr>
            </w:pPr>
            <w:r>
              <w:rPr>
                <w:rFonts w:eastAsiaTheme="minorEastAsia"/>
                <w:color w:val="000000"/>
                <w:kern w:val="0"/>
                <w:szCs w:val="21"/>
              </w:rPr>
              <w:t>520904</w:t>
            </w:r>
          </w:p>
        </w:tc>
        <w:tc>
          <w:tcPr>
            <w:tcW w:w="2058" w:type="dxa"/>
            <w:vAlign w:val="center"/>
          </w:tcPr>
          <w:p>
            <w:pPr>
              <w:spacing w:line="500" w:lineRule="exact"/>
              <w:ind w:left="0" w:leftChars="0" w:firstLine="0" w:firstLineChars="0"/>
              <w:jc w:val="both"/>
              <w:rPr>
                <w:rFonts w:eastAsiaTheme="minorEastAsia"/>
                <w:color w:val="000000"/>
                <w:kern w:val="0"/>
              </w:rPr>
            </w:pPr>
            <w:r>
              <w:rPr>
                <w:rFonts w:eastAsiaTheme="minorEastAsia"/>
                <w:b/>
              </w:rPr>
              <w:t>专业层次</w:t>
            </w:r>
          </w:p>
        </w:tc>
        <w:tc>
          <w:tcPr>
            <w:tcW w:w="992" w:type="dxa"/>
            <w:vAlign w:val="center"/>
          </w:tcPr>
          <w:p>
            <w:pPr>
              <w:spacing w:line="500" w:lineRule="exact"/>
              <w:ind w:left="0" w:leftChars="0" w:firstLine="0" w:firstLineChars="0"/>
              <w:jc w:val="both"/>
              <w:rPr>
                <w:rFonts w:eastAsiaTheme="minorEastAsia"/>
                <w:szCs w:val="21"/>
              </w:rPr>
            </w:pPr>
            <w:r>
              <w:rPr>
                <w:rFonts w:eastAsiaTheme="minorEastAsia"/>
                <w:szCs w:val="21"/>
              </w:rPr>
              <w:t>专科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271" w:type="dxa"/>
            <w:vAlign w:val="center"/>
          </w:tcPr>
          <w:p>
            <w:pPr>
              <w:spacing w:line="500" w:lineRule="exact"/>
              <w:ind w:left="0" w:leftChars="0" w:firstLine="0" w:firstLineChars="0"/>
              <w:jc w:val="both"/>
              <w:rPr>
                <w:rFonts w:cs="仿宋_GB2312" w:asciiTheme="minorEastAsia" w:hAnsiTheme="minorEastAsia" w:eastAsiaTheme="minorEastAsia"/>
                <w:b/>
                <w:color w:val="000000"/>
                <w:kern w:val="0"/>
              </w:rPr>
            </w:pPr>
            <w:r>
              <w:rPr>
                <w:rFonts w:hint="eastAsia" w:cs="仿宋_GB2312" w:asciiTheme="minorEastAsia" w:hAnsiTheme="minorEastAsia" w:eastAsiaTheme="minorEastAsia"/>
                <w:b/>
                <w:color w:val="000000"/>
                <w:kern w:val="0"/>
              </w:rPr>
              <w:t>学制</w:t>
            </w:r>
          </w:p>
        </w:tc>
        <w:tc>
          <w:tcPr>
            <w:tcW w:w="2618" w:type="dxa"/>
            <w:vAlign w:val="center"/>
          </w:tcPr>
          <w:p>
            <w:pPr>
              <w:spacing w:line="324" w:lineRule="auto"/>
              <w:ind w:left="0" w:leftChars="0" w:firstLine="0" w:firstLineChars="0"/>
              <w:jc w:val="both"/>
              <w:rPr>
                <w:rFonts w:eastAsiaTheme="minorEastAsia"/>
                <w:sz w:val="24"/>
                <w:szCs w:val="21"/>
              </w:rPr>
            </w:pPr>
            <w:r>
              <w:rPr>
                <w:rFonts w:hint="eastAsia" w:eastAsiaTheme="minorEastAsia"/>
                <w:sz w:val="24"/>
                <w:szCs w:val="21"/>
              </w:rPr>
              <w:t>2</w:t>
            </w:r>
            <w:r>
              <w:rPr>
                <w:rFonts w:eastAsiaTheme="minorEastAsia"/>
                <w:sz w:val="24"/>
                <w:szCs w:val="21"/>
              </w:rPr>
              <w:t>年</w:t>
            </w:r>
          </w:p>
        </w:tc>
        <w:tc>
          <w:tcPr>
            <w:tcW w:w="1498" w:type="dxa"/>
            <w:vAlign w:val="center"/>
          </w:tcPr>
          <w:p>
            <w:pPr>
              <w:spacing w:line="500" w:lineRule="exact"/>
              <w:ind w:left="0" w:leftChars="0" w:firstLine="0" w:firstLineChars="0"/>
              <w:jc w:val="left"/>
              <w:rPr>
                <w:rFonts w:eastAsiaTheme="minorEastAsia"/>
              </w:rPr>
            </w:pPr>
            <w:r>
              <w:rPr>
                <w:rFonts w:eastAsiaTheme="minorEastAsia"/>
                <w:b/>
              </w:rPr>
              <w:t>拟开出时间</w:t>
            </w:r>
          </w:p>
        </w:tc>
        <w:tc>
          <w:tcPr>
            <w:tcW w:w="1202" w:type="dxa"/>
            <w:vAlign w:val="center"/>
          </w:tcPr>
          <w:p>
            <w:pPr>
              <w:spacing w:line="500" w:lineRule="exact"/>
              <w:ind w:left="0" w:leftChars="0" w:firstLine="0" w:firstLineChars="0"/>
              <w:jc w:val="both"/>
              <w:rPr>
                <w:rFonts w:eastAsiaTheme="minorEastAsia"/>
                <w:szCs w:val="21"/>
              </w:rPr>
            </w:pPr>
            <w:r>
              <w:rPr>
                <w:rFonts w:eastAsiaTheme="minorEastAsia"/>
                <w:szCs w:val="21"/>
              </w:rPr>
              <w:t>2016.9</w:t>
            </w:r>
          </w:p>
        </w:tc>
        <w:tc>
          <w:tcPr>
            <w:tcW w:w="2058" w:type="dxa"/>
            <w:vAlign w:val="center"/>
          </w:tcPr>
          <w:p>
            <w:pPr>
              <w:spacing w:line="500" w:lineRule="exact"/>
              <w:ind w:left="0" w:leftChars="0" w:firstLine="0" w:firstLineChars="0"/>
              <w:jc w:val="both"/>
              <w:rPr>
                <w:rFonts w:eastAsiaTheme="minorEastAsia"/>
              </w:rPr>
            </w:pPr>
            <w:r>
              <w:rPr>
                <w:rFonts w:eastAsiaTheme="minorEastAsia"/>
                <w:b/>
              </w:rPr>
              <w:t>启动调研论证时间</w:t>
            </w:r>
          </w:p>
        </w:tc>
        <w:tc>
          <w:tcPr>
            <w:tcW w:w="992" w:type="dxa"/>
            <w:vAlign w:val="center"/>
          </w:tcPr>
          <w:p>
            <w:pPr>
              <w:spacing w:line="500" w:lineRule="exact"/>
              <w:ind w:left="0" w:leftChars="0" w:firstLine="0" w:firstLineChars="0"/>
              <w:jc w:val="both"/>
              <w:rPr>
                <w:rFonts w:eastAsiaTheme="minorEastAsia"/>
                <w:szCs w:val="21"/>
              </w:rPr>
            </w:pPr>
            <w:r>
              <w:rPr>
                <w:rFonts w:eastAsiaTheme="minorEastAsia"/>
                <w:szCs w:val="21"/>
              </w:rPr>
              <w:t>2015.4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9639" w:type="dxa"/>
            <w:gridSpan w:val="6"/>
            <w:vAlign w:val="center"/>
          </w:tcPr>
          <w:p>
            <w:pPr>
              <w:spacing w:line="500" w:lineRule="exact"/>
              <w:ind w:firstLine="482"/>
              <w:jc w:val="center"/>
              <w:rPr>
                <w:rFonts w:asciiTheme="minorEastAsia" w:hAnsiTheme="minorEastAsia" w:eastAsiaTheme="minorEastAsia"/>
              </w:rPr>
            </w:pPr>
            <w:r>
              <w:rPr>
                <w:rFonts w:hint="eastAsia" w:eastAsiaTheme="minorEastAsia"/>
                <w:b/>
              </w:rPr>
              <w:t>有无与非学历教育沟通的计划</w:t>
            </w:r>
            <w:r>
              <w:rPr>
                <w:rFonts w:hint="eastAsia" w:asciiTheme="minorEastAsia" w:hAnsiTheme="minorEastAsia" w:eastAsiaTheme="minorEastAsia"/>
              </w:rPr>
              <w:t>有（</w:t>
            </w:r>
            <w:r>
              <w:rPr>
                <w:rFonts w:cs="Arial" w:asciiTheme="minorEastAsia" w:hAnsiTheme="minorEastAsia" w:eastAsiaTheme="minorEastAsia"/>
                <w:color w:val="333333"/>
                <w:shd w:val="clear" w:color="auto" w:fill="FFFFFF"/>
              </w:rPr>
              <w:t>√</w:t>
            </w:r>
            <w:r>
              <w:rPr>
                <w:rFonts w:hint="eastAsia" w:asciiTheme="minorEastAsia" w:hAnsiTheme="minorEastAsia" w:eastAsia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1" w:hRule="atLeast"/>
          <w:jc w:val="center"/>
        </w:trPr>
        <w:tc>
          <w:tcPr>
            <w:tcW w:w="9639" w:type="dxa"/>
            <w:gridSpan w:val="6"/>
            <w:vAlign w:val="center"/>
          </w:tcPr>
          <w:p>
            <w:pPr>
              <w:spacing w:beforeLines="50" w:line="360" w:lineRule="exact"/>
              <w:ind w:firstLine="482"/>
              <w:rPr>
                <w:b/>
              </w:rPr>
            </w:pPr>
            <w:r>
              <w:rPr>
                <w:rFonts w:hint="eastAsia"/>
                <w:b/>
              </w:rPr>
              <w:t>一、深入市场调研，定位专业培养目标</w:t>
            </w:r>
          </w:p>
          <w:p>
            <w:pPr>
              <w:spacing w:line="360" w:lineRule="exact"/>
              <w:ind w:firstLine="480"/>
              <w:rPr>
                <w:szCs w:val="21"/>
              </w:rPr>
            </w:pPr>
            <w:r>
              <w:rPr>
                <w:rFonts w:hint="eastAsia"/>
                <w:szCs w:val="21"/>
              </w:rPr>
              <w:t>为落实国家开放大学转型发展要求，推进国家开放大学建设和广播电视大学系统转型，积极探索体现终身教育理念和开放大学特色的“新型产业工人人才培养模式和质量保证机制”，进一步在西安市场上开拓新的办学局面，扩大行业企业合作，更加契合社会与企业人才需求。近几年来，国家开放大学西安分部主动走出去调研市场人才需求，多方面主动洽谈行业企业合作项目，积极依托国家开放大学相关办学项目改革，深入企业和行业多个领域，进行相关人才需求调查和合作开设专业的洽谈。以参与国家开放大学的试点项目</w:t>
            </w:r>
            <w:r>
              <w:rPr>
                <w:szCs w:val="21"/>
              </w:rPr>
              <w:t>为契机</w:t>
            </w:r>
            <w:r>
              <w:rPr>
                <w:rFonts w:hint="eastAsia"/>
                <w:szCs w:val="21"/>
              </w:rPr>
              <w:t>，与西安市相关局委、行业协会的人员素质提升任务相结合，服务地方发展，拓展服务领域。经过与西安市安监局多次洽谈，了解到目前西安市许多中小型企业和单位对于安全方面的重视度不断提升，安全技术与管理从业人员的数量不足，专业性有待进一步加强等。随着安全科学技术和管理科学的快速发展，加之系统安全工程原理和方法的出现，安全技术与管理的内容、方法和原理都有了很大的拓展空间。对此，西安市安监局有意进行安全方面的专业人才队伍素质提升计划，在充分了解国家开放大学西安分部多年办学实力的基础上，双方达成共识。本着立足西安、服务西安经济社会的发展为宗旨，突出办学特色和人才培养目标，在深入了解西安市安全方面的人才需求及专业发展的前景下，国家开放大学西安分部申请开设《安全技术与管理》（专科）专业，为西安市各行业提供具</w:t>
            </w:r>
            <w:r>
              <w:rPr>
                <w:szCs w:val="21"/>
              </w:rPr>
              <w:t>有一定</w:t>
            </w:r>
            <w:r>
              <w:rPr>
                <w:rFonts w:hint="eastAsia"/>
                <w:szCs w:val="21"/>
              </w:rPr>
              <w:t>安全知识及</w:t>
            </w:r>
            <w:r>
              <w:rPr>
                <w:szCs w:val="21"/>
              </w:rPr>
              <w:t>技能</w:t>
            </w:r>
            <w:r>
              <w:rPr>
                <w:rFonts w:hint="eastAsia"/>
                <w:szCs w:val="21"/>
              </w:rPr>
              <w:t>的</w:t>
            </w:r>
            <w:r>
              <w:rPr>
                <w:szCs w:val="21"/>
              </w:rPr>
              <w:t>管理型</w:t>
            </w:r>
            <w:r>
              <w:rPr>
                <w:rFonts w:hint="eastAsia"/>
                <w:szCs w:val="21"/>
              </w:rPr>
              <w:t>人才。</w:t>
            </w:r>
          </w:p>
          <w:p>
            <w:pPr>
              <w:spacing w:line="360" w:lineRule="exact"/>
              <w:ind w:firstLine="480"/>
              <w:rPr>
                <w:szCs w:val="21"/>
              </w:rPr>
            </w:pPr>
            <w:r>
              <w:rPr>
                <w:szCs w:val="21"/>
              </w:rPr>
              <w:t>2015</w:t>
            </w:r>
            <w:r>
              <w:rPr>
                <w:rFonts w:hint="eastAsia"/>
                <w:szCs w:val="21"/>
              </w:rPr>
              <w:t>年</w:t>
            </w:r>
            <w:r>
              <w:rPr>
                <w:szCs w:val="21"/>
              </w:rPr>
              <w:t>4</w:t>
            </w:r>
            <w:r>
              <w:rPr>
                <w:rFonts w:hint="eastAsia"/>
                <w:szCs w:val="21"/>
              </w:rPr>
              <w:t>月，国家开放大学西安分部组建了《安全技术与管理》（专科）专业调研团队，深入西安市各行业（如西安市各区县、开发区的安全技术监督管理主管部门、各企事业安全技术管理监督管理部门及西安市消防总队等），针对当前安全专业人才的社会需求（包括总体需求和行业需求）展开了深度调研。了解到当前西安市许多单位和行业，人员队伍缺乏安全意识和专业知识，工作</w:t>
            </w:r>
            <w:r>
              <w:rPr>
                <w:szCs w:val="21"/>
              </w:rPr>
              <w:t>环境</w:t>
            </w:r>
            <w:r>
              <w:rPr>
                <w:rFonts w:hint="eastAsia"/>
                <w:szCs w:val="21"/>
              </w:rPr>
              <w:t>存在许多安全隐患，并随着国家《安全生产法》的深入实施，为提高西安市安全技术管理人才队伍整体素质和业务能力，提升安全技术管理人员学历水平，开展安全技术管理人才素质提升计划，为安全生产提供专业的人才支撑，成为西安市人才发展规划的一项重要内容。目前，</w:t>
            </w:r>
            <w:r>
              <w:rPr>
                <w:rFonts w:hint="eastAsia"/>
                <w:color w:val="000000"/>
                <w:szCs w:val="21"/>
              </w:rPr>
              <w:t>西安当地仅有极少数的本专科院校开设此类专业，每年毕业学生数量也非常少，西安市的各级政府机关和企业很难招到安全技术管理类人才。为更好地服务西安地区社会经济发展，更好地满足这一市场需求，</w:t>
            </w:r>
            <w:r>
              <w:rPr>
                <w:rFonts w:hint="eastAsia"/>
                <w:szCs w:val="21"/>
              </w:rPr>
              <w:t>国家开放大学西安分部</w:t>
            </w:r>
            <w:r>
              <w:rPr>
                <w:rFonts w:hint="eastAsia"/>
                <w:color w:val="000000"/>
                <w:szCs w:val="21"/>
              </w:rPr>
              <w:t>经多方调研和努力，</w:t>
            </w:r>
            <w:r>
              <w:rPr>
                <w:rFonts w:hint="eastAsia"/>
                <w:szCs w:val="21"/>
              </w:rPr>
              <w:t>启动该专业申请的相关工作。</w:t>
            </w:r>
          </w:p>
          <w:p>
            <w:pPr>
              <w:spacing w:line="360" w:lineRule="exact"/>
              <w:ind w:firstLine="480"/>
              <w:rPr>
                <w:color w:val="000000"/>
                <w:szCs w:val="21"/>
              </w:rPr>
            </w:pPr>
            <w:r>
              <w:rPr>
                <w:szCs w:val="21"/>
              </w:rPr>
              <w:t>2015</w:t>
            </w:r>
            <w:r>
              <w:rPr>
                <w:rFonts w:hint="eastAsia"/>
                <w:szCs w:val="21"/>
              </w:rPr>
              <w:t>年</w:t>
            </w:r>
            <w:r>
              <w:rPr>
                <w:szCs w:val="21"/>
              </w:rPr>
              <w:t>5</w:t>
            </w:r>
            <w:r>
              <w:rPr>
                <w:rFonts w:hint="eastAsia"/>
                <w:szCs w:val="21"/>
              </w:rPr>
              <w:t>月</w:t>
            </w:r>
            <w:r>
              <w:rPr>
                <w:szCs w:val="21"/>
              </w:rPr>
              <w:t>16</w:t>
            </w:r>
            <w:r>
              <w:rPr>
                <w:rFonts w:hint="eastAsia"/>
                <w:color w:val="000000"/>
                <w:szCs w:val="21"/>
              </w:rPr>
              <w:t>日，国家开放大学西安分部</w:t>
            </w:r>
            <w:r>
              <w:rPr>
                <w:rFonts w:hint="eastAsia"/>
                <w:szCs w:val="21"/>
              </w:rPr>
              <w:t>根据前期专业调研情况，依据教育部《普通高等学校高等职业教育（专科）专业设置管理办法</w:t>
            </w:r>
            <w:r>
              <w:rPr>
                <w:rFonts w:hint="eastAsia"/>
                <w:color w:val="000000"/>
                <w:szCs w:val="21"/>
              </w:rPr>
              <w:t>》和《普通高等学校高等职业教育（专科）专业目录（</w:t>
            </w:r>
            <w:r>
              <w:rPr>
                <w:color w:val="000000"/>
                <w:szCs w:val="21"/>
              </w:rPr>
              <w:t>2015</w:t>
            </w:r>
            <w:r>
              <w:rPr>
                <w:rFonts w:hint="eastAsia"/>
                <w:color w:val="000000"/>
                <w:szCs w:val="21"/>
              </w:rPr>
              <w:t>年）》，确定拟建设的专业</w:t>
            </w:r>
            <w:r>
              <w:rPr>
                <w:rFonts w:hint="eastAsia"/>
                <w:szCs w:val="21"/>
              </w:rPr>
              <w:t>名称为《</w:t>
            </w:r>
            <w:r>
              <w:rPr>
                <w:rFonts w:hint="eastAsia"/>
                <w:color w:val="000000"/>
                <w:szCs w:val="21"/>
              </w:rPr>
              <w:t>安全技术与管理》（专科）（属于</w:t>
            </w:r>
            <w:r>
              <w:rPr>
                <w:rFonts w:hint="eastAsia"/>
                <w:szCs w:val="21"/>
              </w:rPr>
              <w:t>资源环境与安全大类下的安全类）</w:t>
            </w:r>
            <w:r>
              <w:rPr>
                <w:rFonts w:hint="eastAsia"/>
                <w:color w:val="000000"/>
                <w:szCs w:val="21"/>
              </w:rPr>
              <w:t>，同时组织相关人员撰写了《安全类安全技术与管理》（专科）专业可行性论证报告。</w:t>
            </w:r>
          </w:p>
          <w:p>
            <w:pPr>
              <w:tabs>
                <w:tab w:val="left" w:pos="1440"/>
              </w:tabs>
              <w:adjustRightInd w:val="0"/>
              <w:snapToGrid w:val="0"/>
              <w:spacing w:line="360" w:lineRule="exact"/>
              <w:ind w:firstLine="361" w:firstLineChars="150"/>
              <w:rPr>
                <w:b/>
              </w:rPr>
            </w:pPr>
            <w:r>
              <w:rPr>
                <w:rFonts w:hint="eastAsia"/>
                <w:b/>
              </w:rPr>
              <w:t>二、立足行业需求，制定专业规则</w:t>
            </w:r>
          </w:p>
          <w:p>
            <w:pPr>
              <w:tabs>
                <w:tab w:val="left" w:pos="1440"/>
              </w:tabs>
              <w:adjustRightInd w:val="0"/>
              <w:snapToGrid w:val="0"/>
              <w:spacing w:line="360" w:lineRule="exact"/>
              <w:ind w:firstLine="480"/>
              <w:rPr>
                <w:szCs w:val="21"/>
              </w:rPr>
            </w:pPr>
            <w:r>
              <w:rPr>
                <w:szCs w:val="21"/>
              </w:rPr>
              <w:t>2015</w:t>
            </w:r>
            <w:r>
              <w:rPr>
                <w:rFonts w:hint="eastAsia"/>
                <w:szCs w:val="21"/>
              </w:rPr>
              <w:t>年</w:t>
            </w:r>
            <w:r>
              <w:rPr>
                <w:szCs w:val="21"/>
              </w:rPr>
              <w:t>5</w:t>
            </w:r>
            <w:r>
              <w:rPr>
                <w:rFonts w:hint="eastAsia"/>
                <w:szCs w:val="21"/>
              </w:rPr>
              <w:t>月，西安市安监局与国家开放大学西安分部联合就《安全技术与管理》（专科</w:t>
            </w:r>
            <w:r>
              <w:rPr>
                <w:szCs w:val="21"/>
              </w:rPr>
              <w:t>）</w:t>
            </w:r>
            <w:r>
              <w:rPr>
                <w:rFonts w:hint="eastAsia"/>
                <w:szCs w:val="21"/>
              </w:rPr>
              <w:t>专业进行了专业开设需求、专业建设等工作研讨，经充分研讨，决定启动开设《安全技术与管理》</w:t>
            </w:r>
            <w:r>
              <w:rPr>
                <w:szCs w:val="21"/>
              </w:rPr>
              <w:t>（</w:t>
            </w:r>
            <w:r>
              <w:rPr>
                <w:rFonts w:hint="eastAsia"/>
                <w:szCs w:val="21"/>
              </w:rPr>
              <w:t>专科）专业，同时，西安市安监局下发了《西安市</w:t>
            </w:r>
            <w:r>
              <w:rPr>
                <w:szCs w:val="21"/>
              </w:rPr>
              <w:t>安全生产监督管理局关于开展全市安全生产管理人才素质提升计划的通知</w:t>
            </w:r>
            <w:r>
              <w:rPr>
                <w:rFonts w:hint="eastAsia"/>
                <w:szCs w:val="21"/>
              </w:rPr>
              <w:t>》文件，明确了西安市安监局下属的各安全技术监督管理单位对于该专业的迫切需求并明确了培养范围。国家开放大学西安分部作为专业承建方，进行专业建设和招生工作，立足西安市行业的人才需求，合理制定《安全技术与管理》（</w:t>
            </w:r>
            <w:r>
              <w:rPr>
                <w:szCs w:val="21"/>
              </w:rPr>
              <w:t>专科）</w:t>
            </w:r>
            <w:r>
              <w:rPr>
                <w:rFonts w:hint="eastAsia"/>
                <w:szCs w:val="21"/>
              </w:rPr>
              <w:t>专业的教学计划。</w:t>
            </w:r>
          </w:p>
          <w:p>
            <w:pPr>
              <w:tabs>
                <w:tab w:val="left" w:pos="1440"/>
              </w:tabs>
              <w:adjustRightInd w:val="0"/>
              <w:snapToGrid w:val="0"/>
              <w:spacing w:line="360" w:lineRule="exact"/>
              <w:ind w:firstLine="480"/>
              <w:rPr>
                <w:szCs w:val="21"/>
              </w:rPr>
            </w:pPr>
            <w:r>
              <w:rPr>
                <w:szCs w:val="21"/>
              </w:rPr>
              <w:t>2015</w:t>
            </w:r>
            <w:r>
              <w:rPr>
                <w:rFonts w:hint="eastAsia"/>
                <w:szCs w:val="21"/>
              </w:rPr>
              <w:t>年</w:t>
            </w:r>
            <w:r>
              <w:rPr>
                <w:szCs w:val="21"/>
              </w:rPr>
              <w:t>9</w:t>
            </w:r>
            <w:r>
              <w:rPr>
                <w:rFonts w:hint="eastAsia"/>
                <w:szCs w:val="21"/>
              </w:rPr>
              <w:t>月，结合国家开放大学助力计划专业相关规范要求，国家开放大学西安分部成立了专业建设团队。团队由校部专职教师和西安建筑科技大学、西安科技大学的学科专家组成，共同进行专业建设工作。结合西安市区域特色、专业学生的生源状况，共召开七次专题研讨会议，注重开设具有安全专业基础知识并且适用性强的课程。在此基础上，团队对《安全技术与管理》（专科）专业的可行性分析、专业规则说明、课程设置、教学实施方案等进行了重点研讨和论证，形成比较完善的专业教学材料。</w:t>
            </w:r>
          </w:p>
          <w:p>
            <w:pPr>
              <w:tabs>
                <w:tab w:val="left" w:pos="1440"/>
              </w:tabs>
              <w:adjustRightInd w:val="0"/>
              <w:snapToGrid w:val="0"/>
              <w:spacing w:line="360" w:lineRule="exact"/>
              <w:ind w:firstLine="480"/>
              <w:rPr>
                <w:szCs w:val="21"/>
              </w:rPr>
            </w:pPr>
            <w:r>
              <w:rPr>
                <w:szCs w:val="21"/>
              </w:rPr>
              <w:t>2015</w:t>
            </w:r>
            <w:r>
              <w:rPr>
                <w:rFonts w:hint="eastAsia"/>
                <w:szCs w:val="21"/>
              </w:rPr>
              <w:t>年</w:t>
            </w:r>
            <w:r>
              <w:rPr>
                <w:szCs w:val="21"/>
              </w:rPr>
              <w:t>10</w:t>
            </w:r>
            <w:r>
              <w:rPr>
                <w:rFonts w:hint="eastAsia"/>
                <w:szCs w:val="21"/>
              </w:rPr>
              <w:t>月，国家开放大学西安分部向西安市安监局提交了《安全技术与管理》（</w:t>
            </w:r>
            <w:r>
              <w:rPr>
                <w:szCs w:val="21"/>
              </w:rPr>
              <w:t>专科）</w:t>
            </w:r>
            <w:r>
              <w:rPr>
                <w:rFonts w:hint="eastAsia"/>
                <w:szCs w:val="21"/>
              </w:rPr>
              <w:t>专业材料，对《安全技术与管理》（专科）专业规则中的课程设置，征求了西安市安监局的反馈意见和建议，并及时修改了专业规则中的相关课程设置。</w:t>
            </w:r>
          </w:p>
          <w:p>
            <w:pPr>
              <w:tabs>
                <w:tab w:val="left" w:pos="1440"/>
              </w:tabs>
              <w:adjustRightInd w:val="0"/>
              <w:snapToGrid w:val="0"/>
              <w:spacing w:line="360" w:lineRule="exact"/>
              <w:ind w:firstLine="480"/>
              <w:rPr>
                <w:szCs w:val="21"/>
              </w:rPr>
            </w:pPr>
            <w:r>
              <w:rPr>
                <w:szCs w:val="21"/>
              </w:rPr>
              <w:t>2016</w:t>
            </w:r>
            <w:r>
              <w:rPr>
                <w:rFonts w:hint="eastAsia"/>
                <w:szCs w:val="21"/>
              </w:rPr>
              <w:t>年</w:t>
            </w:r>
            <w:r>
              <w:rPr>
                <w:szCs w:val="21"/>
              </w:rPr>
              <w:t>3</w:t>
            </w:r>
            <w:r>
              <w:rPr>
                <w:rFonts w:hint="eastAsia"/>
                <w:szCs w:val="21"/>
              </w:rPr>
              <w:t>月</w:t>
            </w:r>
            <w:r>
              <w:rPr>
                <w:szCs w:val="21"/>
              </w:rPr>
              <w:t>10</w:t>
            </w:r>
            <w:r>
              <w:rPr>
                <w:rFonts w:hint="eastAsia"/>
                <w:szCs w:val="21"/>
              </w:rPr>
              <w:t>日，国家开放大学西安分部组织进行了《安全技术与管理》（专科）专业建设专家论证会，西安科技大学安全工程专业的林</w:t>
            </w:r>
            <w:r>
              <w:rPr>
                <w:szCs w:val="21"/>
              </w:rPr>
              <w:t>海飞</w:t>
            </w:r>
            <w:r>
              <w:rPr>
                <w:rFonts w:hint="eastAsia"/>
                <w:szCs w:val="21"/>
              </w:rPr>
              <w:t>教授，西安建筑</w:t>
            </w:r>
            <w:r>
              <w:rPr>
                <w:szCs w:val="21"/>
              </w:rPr>
              <w:t>科技大学安全工程专业的</w:t>
            </w:r>
            <w:r>
              <w:rPr>
                <w:rFonts w:hint="eastAsia"/>
                <w:szCs w:val="21"/>
              </w:rPr>
              <w:t>徐善</w:t>
            </w:r>
            <w:r>
              <w:rPr>
                <w:szCs w:val="21"/>
              </w:rPr>
              <w:t>华</w:t>
            </w:r>
            <w:r>
              <w:rPr>
                <w:rFonts w:hint="eastAsia"/>
                <w:szCs w:val="21"/>
              </w:rPr>
              <w:t>教授、</w:t>
            </w:r>
            <w:r>
              <w:rPr>
                <w:szCs w:val="21"/>
              </w:rPr>
              <w:t>门进杰教授、</w:t>
            </w:r>
            <w:r>
              <w:rPr>
                <w:rFonts w:hint="eastAsia"/>
                <w:szCs w:val="21"/>
              </w:rPr>
              <w:t>郑</w:t>
            </w:r>
            <w:r>
              <w:rPr>
                <w:szCs w:val="21"/>
              </w:rPr>
              <w:t>山锁教授</w:t>
            </w:r>
            <w:r>
              <w:rPr>
                <w:rFonts w:hint="eastAsia"/>
                <w:szCs w:val="21"/>
              </w:rPr>
              <w:t>、</w:t>
            </w:r>
            <w:r>
              <w:rPr>
                <w:szCs w:val="21"/>
              </w:rPr>
              <w:t>周铁钢教授、</w:t>
            </w:r>
            <w:r>
              <w:rPr>
                <w:rFonts w:hint="eastAsia"/>
                <w:szCs w:val="21"/>
              </w:rPr>
              <w:t>宋战</w:t>
            </w:r>
            <w:r>
              <w:rPr>
                <w:szCs w:val="21"/>
              </w:rPr>
              <w:t>平教授</w:t>
            </w:r>
            <w:r>
              <w:rPr>
                <w:rFonts w:hint="eastAsia"/>
                <w:szCs w:val="21"/>
              </w:rPr>
              <w:t>，西安电大副校长赵丽玲教授，教务处、教学部相关领导和专业负责教师参加了</w:t>
            </w:r>
            <w:r>
              <w:rPr>
                <w:szCs w:val="21"/>
              </w:rPr>
              <w:t>会议</w:t>
            </w:r>
            <w:r>
              <w:rPr>
                <w:rFonts w:hint="eastAsia"/>
                <w:szCs w:val="21"/>
              </w:rPr>
              <w:t>。会上</w:t>
            </w:r>
            <w:r>
              <w:rPr>
                <w:szCs w:val="21"/>
              </w:rPr>
              <w:t>，</w:t>
            </w:r>
            <w:r>
              <w:rPr>
                <w:rFonts w:hint="eastAsia"/>
                <w:szCs w:val="21"/>
              </w:rPr>
              <w:t>论证专家对于课程设置、实践环节、专业规则以及申报材料等内容提出了切实有效的意见和建议。会后，专业教学团队对相关材料及时进行了修改与补充，并再次让学科专家进行了审核，得到了专家的一致认可。</w:t>
            </w:r>
          </w:p>
          <w:p>
            <w:pPr>
              <w:tabs>
                <w:tab w:val="left" w:pos="1440"/>
              </w:tabs>
              <w:adjustRightInd w:val="0"/>
              <w:snapToGrid w:val="0"/>
              <w:spacing w:line="360" w:lineRule="exact"/>
              <w:ind w:firstLine="480"/>
              <w:rPr>
                <w:szCs w:val="21"/>
              </w:rPr>
            </w:pPr>
            <w:r>
              <w:rPr>
                <w:szCs w:val="21"/>
              </w:rPr>
              <w:t>2016</w:t>
            </w:r>
            <w:r>
              <w:rPr>
                <w:rFonts w:hint="eastAsia"/>
                <w:szCs w:val="21"/>
              </w:rPr>
              <w:t>年</w:t>
            </w:r>
            <w:r>
              <w:rPr>
                <w:szCs w:val="21"/>
              </w:rPr>
              <w:t>5</w:t>
            </w:r>
            <w:r>
              <w:rPr>
                <w:rFonts w:hint="eastAsia"/>
                <w:szCs w:val="21"/>
              </w:rPr>
              <w:t>月</w:t>
            </w:r>
            <w:r>
              <w:rPr>
                <w:szCs w:val="21"/>
              </w:rPr>
              <w:t>5</w:t>
            </w:r>
            <w:r>
              <w:rPr>
                <w:rFonts w:hint="eastAsia"/>
                <w:szCs w:val="21"/>
              </w:rPr>
              <w:t>日，《安全技术与管理》（专科）专业教学团队人员制定了</w:t>
            </w:r>
            <w:r>
              <w:rPr>
                <w:szCs w:val="21"/>
              </w:rPr>
              <w:t>15</w:t>
            </w:r>
            <w:r>
              <w:rPr>
                <w:rFonts w:hint="eastAsia"/>
                <w:szCs w:val="21"/>
              </w:rPr>
              <w:t>门课程的教学规范文档，包括每门课的基本信息、教学内容和考核方式说明等，为以后的课程资源建设和教学提供了依据。</w:t>
            </w:r>
          </w:p>
          <w:p>
            <w:pPr>
              <w:tabs>
                <w:tab w:val="left" w:pos="1440"/>
              </w:tabs>
              <w:adjustRightInd w:val="0"/>
              <w:snapToGrid w:val="0"/>
              <w:spacing w:line="360" w:lineRule="exact"/>
              <w:ind w:firstLine="482"/>
              <w:rPr>
                <w:b/>
              </w:rPr>
            </w:pPr>
            <w:r>
              <w:rPr>
                <w:rFonts w:hint="eastAsia"/>
                <w:b/>
              </w:rPr>
              <w:t>三、确定建设重点课程，保证专业开设条件</w:t>
            </w:r>
          </w:p>
          <w:p>
            <w:pPr>
              <w:tabs>
                <w:tab w:val="left" w:pos="1440"/>
              </w:tabs>
              <w:adjustRightInd w:val="0"/>
              <w:snapToGrid w:val="0"/>
              <w:spacing w:line="360" w:lineRule="exact"/>
              <w:ind w:firstLine="480"/>
              <w:rPr>
                <w:szCs w:val="21"/>
              </w:rPr>
            </w:pPr>
            <w:r>
              <w:rPr>
                <w:rFonts w:hint="eastAsia"/>
                <w:szCs w:val="21"/>
              </w:rPr>
              <w:t>《安全技术与管理》（专科）专业建设团队积极进行课程资源建设工作，采用自建、共建和引进三种方式。本专业将结合西安市行业特点，编写突出专业职业能力的教材，联合部分兄弟院校共同开展课程资源建设及专业建设工作，同时采用引进的方式，聘请西安建筑科技大学资深专家进行参编和主审，吸收系统外优质教材和教学资源。</w:t>
            </w:r>
          </w:p>
          <w:p>
            <w:pPr>
              <w:tabs>
                <w:tab w:val="left" w:pos="1440"/>
              </w:tabs>
              <w:adjustRightInd w:val="0"/>
              <w:snapToGrid w:val="0"/>
              <w:spacing w:line="360" w:lineRule="exact"/>
              <w:ind w:firstLine="480"/>
              <w:rPr>
                <w:szCs w:val="21"/>
              </w:rPr>
            </w:pPr>
            <w:r>
              <w:rPr>
                <w:rFonts w:hint="eastAsia"/>
                <w:szCs w:val="21"/>
              </w:rPr>
              <w:t>为发挥教育信息技术的教育能效，建设并扩大优质资源辐射面，以学校远程教育优势资源为依托，结合网络课程、微课程、小课件等多种形式教学资源建设经验，在较短时间内建成内容丰富、教学效果良好、实现多方共享的优质资源。经过学校资源建设委员会的评议，确定《安全技术与管理》（专科）专业的一门课程作为国家开放大学西安分部的精品课程进行资源建设。</w:t>
            </w:r>
          </w:p>
          <w:p>
            <w:pPr>
              <w:tabs>
                <w:tab w:val="left" w:pos="1440"/>
              </w:tabs>
              <w:adjustRightInd w:val="0"/>
              <w:snapToGrid w:val="0"/>
              <w:spacing w:line="360" w:lineRule="exact"/>
              <w:ind w:firstLine="480"/>
              <w:rPr>
                <w:szCs w:val="21"/>
              </w:rPr>
            </w:pPr>
            <w:r>
              <w:rPr>
                <w:rFonts w:hint="eastAsia"/>
                <w:szCs w:val="21"/>
              </w:rPr>
              <w:t>实践环节的教学，采用集中式、分散式等多种形式进行，依托西安建筑科技大学、</w:t>
            </w:r>
            <w:r>
              <w:rPr>
                <w:szCs w:val="21"/>
              </w:rPr>
              <w:t>西安科技大学</w:t>
            </w:r>
            <w:r>
              <w:rPr>
                <w:rFonts w:hint="eastAsia"/>
                <w:szCs w:val="21"/>
              </w:rPr>
              <w:t>等普通高校和行业企业完善的实践场地和设施，进行课程以及实践环节的资源共享，同时发挥在职成人学生的岗位优势，进行定岗实践等教学活动。</w:t>
            </w:r>
          </w:p>
          <w:p>
            <w:pPr>
              <w:tabs>
                <w:tab w:val="left" w:pos="1440"/>
              </w:tabs>
              <w:adjustRightInd w:val="0"/>
              <w:snapToGrid w:val="0"/>
              <w:spacing w:line="360" w:lineRule="exact"/>
              <w:ind w:firstLine="480"/>
              <w:rPr>
                <w:rFonts w:hint="eastAsia"/>
                <w:szCs w:val="21"/>
              </w:rPr>
            </w:pPr>
            <w:r>
              <w:rPr>
                <w:rFonts w:hint="eastAsia"/>
                <w:szCs w:val="21"/>
              </w:rPr>
              <w:t>经以上综合分析，国家开放大学西安分部已经具备开办《安全技术与管理》（专科）专业的条件，特此申请。</w:t>
            </w: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p>
            <w:pPr>
              <w:tabs>
                <w:tab w:val="left" w:pos="1440"/>
              </w:tabs>
              <w:adjustRightInd w:val="0"/>
              <w:snapToGrid w:val="0"/>
              <w:spacing w:line="360" w:lineRule="exact"/>
              <w:ind w:firstLine="480"/>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2" w:hRule="atLeast"/>
          <w:jc w:val="center"/>
        </w:trPr>
        <w:tc>
          <w:tcPr>
            <w:tcW w:w="9639" w:type="dxa"/>
            <w:gridSpan w:val="6"/>
            <w:vAlign w:val="center"/>
          </w:tcPr>
          <w:p>
            <w:pPr>
              <w:spacing w:line="324" w:lineRule="auto"/>
              <w:ind w:firstLine="480"/>
              <w:rPr>
                <w:rFonts w:ascii="宋体" w:cs="仿宋_GB2312"/>
                <w:color w:val="000000"/>
                <w:kern w:val="0"/>
              </w:rPr>
            </w:pPr>
            <w:r>
              <w:rPr>
                <w:rFonts w:hint="eastAsia" w:ascii="宋体" w:hAnsi="宋体" w:cs="仿宋_GB2312"/>
                <w:color w:val="000000"/>
                <w:kern w:val="0"/>
              </w:rPr>
              <w:t>申请单位意见：</w:t>
            </w:r>
          </w:p>
          <w:p>
            <w:pPr>
              <w:tabs>
                <w:tab w:val="left" w:pos="1905"/>
                <w:tab w:val="center" w:pos="4698"/>
              </w:tabs>
              <w:spacing w:line="324" w:lineRule="auto"/>
              <w:ind w:firstLine="480"/>
              <w:jc w:val="center"/>
              <w:rPr>
                <w:rFonts w:ascii="宋体" w:cs="仿宋_GB2312"/>
                <w:color w:val="000000"/>
                <w:kern w:val="0"/>
              </w:rPr>
            </w:pPr>
          </w:p>
          <w:p>
            <w:pPr>
              <w:tabs>
                <w:tab w:val="left" w:pos="1905"/>
                <w:tab w:val="center" w:pos="4698"/>
              </w:tabs>
              <w:spacing w:line="324" w:lineRule="auto"/>
              <w:ind w:firstLine="480"/>
              <w:jc w:val="center"/>
              <w:rPr>
                <w:rFonts w:ascii="宋体" w:cs="仿宋_GB2312"/>
                <w:color w:val="000000"/>
                <w:kern w:val="0"/>
              </w:rPr>
            </w:pPr>
          </w:p>
          <w:p>
            <w:pPr>
              <w:tabs>
                <w:tab w:val="left" w:pos="1905"/>
                <w:tab w:val="center" w:pos="4698"/>
              </w:tabs>
              <w:spacing w:line="324" w:lineRule="auto"/>
              <w:ind w:firstLine="480"/>
              <w:rPr>
                <w:rFonts w:ascii="宋体" w:cs="仿宋_GB2312"/>
                <w:color w:val="000000"/>
                <w:kern w:val="0"/>
              </w:rPr>
            </w:pPr>
          </w:p>
          <w:p>
            <w:pPr>
              <w:tabs>
                <w:tab w:val="left" w:pos="1905"/>
                <w:tab w:val="center" w:pos="4698"/>
              </w:tabs>
              <w:spacing w:beforeLines="50" w:afterLines="50"/>
              <w:ind w:firstLine="480"/>
              <w:jc w:val="center"/>
              <w:rPr>
                <w:rFonts w:ascii="宋体" w:cs="仿宋_GB2312"/>
                <w:color w:val="000000"/>
                <w:kern w:val="0"/>
                <w:u w:val="single"/>
              </w:rPr>
            </w:pPr>
            <w:r>
              <w:rPr>
                <w:rFonts w:hint="eastAsia" w:ascii="宋体" w:hAnsi="宋体" w:cs="仿宋_GB2312"/>
                <w:color w:val="000000"/>
                <w:kern w:val="0"/>
              </w:rPr>
              <w:t>申请单位负责人：</w:t>
            </w:r>
          </w:p>
          <w:p>
            <w:pPr>
              <w:tabs>
                <w:tab w:val="left" w:pos="1905"/>
                <w:tab w:val="center" w:pos="4698"/>
              </w:tabs>
              <w:spacing w:beforeLines="50" w:afterLines="50"/>
              <w:ind w:firstLine="480"/>
              <w:jc w:val="center"/>
              <w:rPr>
                <w:rFonts w:ascii="宋体" w:cs="仿宋_GB2312"/>
                <w:color w:val="000000"/>
                <w:kern w:val="0"/>
                <w:u w:val="single"/>
              </w:rPr>
            </w:pPr>
            <w:r>
              <w:rPr>
                <w:rFonts w:hint="eastAsia" w:ascii="宋体" w:hAnsi="宋体" w:cs="仿宋_GB2312"/>
                <w:color w:val="000000"/>
                <w:kern w:val="0"/>
              </w:rPr>
              <w:t>（学院签章）</w:t>
            </w:r>
            <w:r>
              <w:rPr>
                <w:rFonts w:hint="eastAsia" w:ascii="宋体" w:hAnsi="宋体"/>
              </w:rPr>
              <w:t>年月日</w:t>
            </w:r>
          </w:p>
        </w:tc>
      </w:tr>
    </w:tbl>
    <w:p>
      <w:pPr>
        <w:ind w:firstLine="480"/>
      </w:pPr>
      <w:r>
        <w:rPr>
          <w:rFonts w:hint="eastAsia"/>
        </w:rPr>
        <w:drawing>
          <wp:anchor distT="0" distB="0" distL="114300" distR="114300" simplePos="0" relativeHeight="251665408" behindDoc="0" locked="0" layoutInCell="1" allowOverlap="1">
            <wp:simplePos x="0" y="0"/>
            <wp:positionH relativeFrom="margin">
              <wp:align>right</wp:align>
            </wp:positionH>
            <wp:positionV relativeFrom="paragraph">
              <wp:posOffset>-9190990</wp:posOffset>
            </wp:positionV>
            <wp:extent cx="276225" cy="200025"/>
            <wp:effectExtent l="0" t="0" r="9525" b="952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76225" cy="200025"/>
                    </a:xfrm>
                    <a:prstGeom prst="rect">
                      <a:avLst/>
                    </a:prstGeom>
                  </pic:spPr>
                </pic:pic>
              </a:graphicData>
            </a:graphic>
          </wp:anchor>
        </w:drawing>
      </w:r>
    </w:p>
    <w:p>
      <w:pPr>
        <w:ind w:firstLine="0" w:firstLineChars="0"/>
        <w:jc w:val="center"/>
        <w:rPr>
          <w:rFonts w:ascii="宋体" w:hAnsi="宋体"/>
          <w:b/>
          <w:bCs/>
          <w:kern w:val="0"/>
          <w:sz w:val="32"/>
          <w:szCs w:val="32"/>
        </w:rPr>
      </w:pPr>
      <w:r>
        <w:rPr>
          <w:rFonts w:hint="eastAsia" w:ascii="宋体" w:hAnsi="宋体"/>
          <w:b/>
          <w:bCs/>
          <w:kern w:val="0"/>
          <w:sz w:val="32"/>
          <w:szCs w:val="32"/>
        </w:rPr>
        <w:t>资源环境与安全大类安全类</w:t>
      </w:r>
    </w:p>
    <w:p>
      <w:pPr>
        <w:spacing w:afterLines="50"/>
        <w:ind w:firstLine="0" w:firstLineChars="0"/>
        <w:jc w:val="center"/>
        <w:rPr>
          <w:rFonts w:ascii="宋体" w:hAnsi="宋体"/>
          <w:b/>
          <w:bCs/>
          <w:kern w:val="0"/>
          <w:sz w:val="32"/>
          <w:szCs w:val="32"/>
        </w:rPr>
      </w:pPr>
      <w:r>
        <w:rPr>
          <w:rFonts w:hint="eastAsia" w:ascii="宋体" w:hAnsi="宋体"/>
          <w:b/>
          <w:bCs/>
          <w:kern w:val="0"/>
          <w:sz w:val="32"/>
          <w:szCs w:val="32"/>
        </w:rPr>
        <w:t>安全技术与管理（专科）专业规则</w:t>
      </w:r>
    </w:p>
    <w:tbl>
      <w:tblPr>
        <w:tblStyle w:val="16"/>
        <w:tblW w:w="10268" w:type="dxa"/>
        <w:tblInd w:w="-4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9"/>
        <w:gridCol w:w="675"/>
        <w:gridCol w:w="798"/>
        <w:gridCol w:w="725"/>
        <w:gridCol w:w="592"/>
        <w:gridCol w:w="792"/>
        <w:gridCol w:w="1740"/>
        <w:gridCol w:w="670"/>
        <w:gridCol w:w="567"/>
        <w:gridCol w:w="992"/>
        <w:gridCol w:w="709"/>
        <w:gridCol w:w="547"/>
        <w:gridCol w:w="10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exact"/>
        </w:trPr>
        <w:tc>
          <w:tcPr>
            <w:tcW w:w="2647" w:type="dxa"/>
            <w:gridSpan w:val="4"/>
            <w:tcMar>
              <w:top w:w="15" w:type="dxa"/>
              <w:left w:w="15" w:type="dxa"/>
              <w:right w:w="15" w:type="dxa"/>
            </w:tcMar>
            <w:vAlign w:val="center"/>
          </w:tcPr>
          <w:p>
            <w:pPr>
              <w:ind w:firstLine="0" w:firstLineChars="0"/>
              <w:jc w:val="center"/>
              <w:rPr>
                <w:b/>
                <w:color w:val="000000"/>
                <w:kern w:val="1"/>
              </w:rPr>
            </w:pPr>
            <w:r>
              <w:rPr>
                <w:b/>
                <w:color w:val="000000"/>
                <w:kern w:val="1"/>
              </w:rPr>
              <w:t>专业名称</w:t>
            </w:r>
          </w:p>
        </w:tc>
        <w:tc>
          <w:tcPr>
            <w:tcW w:w="3124" w:type="dxa"/>
            <w:gridSpan w:val="3"/>
            <w:vAlign w:val="center"/>
          </w:tcPr>
          <w:p>
            <w:pPr>
              <w:ind w:firstLine="0" w:firstLineChars="0"/>
              <w:jc w:val="center"/>
              <w:rPr>
                <w:color w:val="000000"/>
                <w:kern w:val="1"/>
                <w:sz w:val="21"/>
                <w:szCs w:val="21"/>
              </w:rPr>
            </w:pPr>
            <w:r>
              <w:rPr>
                <w:color w:val="000000"/>
                <w:kern w:val="1"/>
                <w:sz w:val="21"/>
                <w:szCs w:val="21"/>
              </w:rPr>
              <w:t>安全技术与管理</w:t>
            </w:r>
          </w:p>
        </w:tc>
        <w:tc>
          <w:tcPr>
            <w:tcW w:w="2229" w:type="dxa"/>
            <w:gridSpan w:val="3"/>
            <w:vAlign w:val="center"/>
          </w:tcPr>
          <w:p>
            <w:pPr>
              <w:ind w:firstLine="0" w:firstLineChars="0"/>
              <w:jc w:val="center"/>
              <w:rPr>
                <w:b/>
                <w:color w:val="000000"/>
                <w:kern w:val="1"/>
              </w:rPr>
            </w:pPr>
            <w:r>
              <w:rPr>
                <w:b/>
                <w:color w:val="000000"/>
                <w:kern w:val="1"/>
              </w:rPr>
              <w:t>规则号</w:t>
            </w:r>
          </w:p>
        </w:tc>
        <w:tc>
          <w:tcPr>
            <w:tcW w:w="2268" w:type="dxa"/>
            <w:gridSpan w:val="3"/>
            <w:vAlign w:val="center"/>
          </w:tcPr>
          <w:p>
            <w:pPr>
              <w:ind w:firstLine="0" w:firstLineChars="0"/>
              <w:jc w:val="center"/>
              <w:rPr>
                <w:color w:val="000000"/>
                <w:kern w:val="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exact"/>
        </w:trPr>
        <w:tc>
          <w:tcPr>
            <w:tcW w:w="2647" w:type="dxa"/>
            <w:gridSpan w:val="4"/>
            <w:tcMar>
              <w:top w:w="15" w:type="dxa"/>
              <w:left w:w="15" w:type="dxa"/>
              <w:right w:w="15" w:type="dxa"/>
            </w:tcMar>
            <w:vAlign w:val="center"/>
          </w:tcPr>
          <w:p>
            <w:pPr>
              <w:ind w:firstLine="0" w:firstLineChars="0"/>
              <w:jc w:val="center"/>
              <w:rPr>
                <w:b/>
                <w:color w:val="000000"/>
                <w:kern w:val="1"/>
              </w:rPr>
            </w:pPr>
            <w:r>
              <w:rPr>
                <w:b/>
                <w:color w:val="000000"/>
                <w:kern w:val="1"/>
              </w:rPr>
              <w:t>学生类型</w:t>
            </w:r>
          </w:p>
        </w:tc>
        <w:tc>
          <w:tcPr>
            <w:tcW w:w="3124" w:type="dxa"/>
            <w:gridSpan w:val="3"/>
            <w:vAlign w:val="center"/>
          </w:tcPr>
          <w:p>
            <w:pPr>
              <w:ind w:firstLine="0" w:firstLineChars="0"/>
              <w:jc w:val="center"/>
              <w:rPr>
                <w:color w:val="000000"/>
                <w:kern w:val="1"/>
                <w:sz w:val="21"/>
                <w:szCs w:val="21"/>
              </w:rPr>
            </w:pPr>
            <w:r>
              <w:rPr>
                <w:color w:val="000000"/>
                <w:kern w:val="1"/>
                <w:sz w:val="21"/>
                <w:szCs w:val="21"/>
              </w:rPr>
              <w:t>助力计划</w:t>
            </w:r>
          </w:p>
        </w:tc>
        <w:tc>
          <w:tcPr>
            <w:tcW w:w="2229" w:type="dxa"/>
            <w:gridSpan w:val="3"/>
            <w:vAlign w:val="center"/>
          </w:tcPr>
          <w:p>
            <w:pPr>
              <w:ind w:firstLine="0" w:firstLineChars="0"/>
              <w:jc w:val="center"/>
              <w:rPr>
                <w:b/>
                <w:color w:val="000000"/>
                <w:kern w:val="1"/>
              </w:rPr>
            </w:pPr>
            <w:r>
              <w:rPr>
                <w:b/>
                <w:color w:val="000000"/>
                <w:kern w:val="1"/>
              </w:rPr>
              <w:t>专业层次</w:t>
            </w:r>
          </w:p>
        </w:tc>
        <w:tc>
          <w:tcPr>
            <w:tcW w:w="2268" w:type="dxa"/>
            <w:gridSpan w:val="3"/>
            <w:vAlign w:val="center"/>
          </w:tcPr>
          <w:p>
            <w:pPr>
              <w:ind w:firstLine="0" w:firstLineChars="0"/>
              <w:jc w:val="center"/>
              <w:rPr>
                <w:color w:val="000000"/>
                <w:kern w:val="1"/>
                <w:sz w:val="21"/>
                <w:szCs w:val="21"/>
              </w:rPr>
            </w:pPr>
            <w:r>
              <w:rPr>
                <w:color w:val="000000"/>
                <w:kern w:val="1"/>
                <w:sz w:val="21"/>
                <w:szCs w:val="21"/>
              </w:rPr>
              <w:t>专科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exact"/>
        </w:trPr>
        <w:tc>
          <w:tcPr>
            <w:tcW w:w="2647" w:type="dxa"/>
            <w:gridSpan w:val="4"/>
            <w:tcMar>
              <w:top w:w="15" w:type="dxa"/>
              <w:left w:w="15" w:type="dxa"/>
              <w:right w:w="15" w:type="dxa"/>
            </w:tcMar>
            <w:vAlign w:val="center"/>
          </w:tcPr>
          <w:p>
            <w:pPr>
              <w:ind w:firstLine="0" w:firstLineChars="0"/>
              <w:jc w:val="center"/>
              <w:rPr>
                <w:b/>
                <w:color w:val="000000"/>
                <w:kern w:val="1"/>
              </w:rPr>
            </w:pPr>
            <w:r>
              <w:rPr>
                <w:b/>
                <w:color w:val="000000"/>
                <w:kern w:val="1"/>
              </w:rPr>
              <w:t>毕业学分</w:t>
            </w:r>
          </w:p>
        </w:tc>
        <w:tc>
          <w:tcPr>
            <w:tcW w:w="3124" w:type="dxa"/>
            <w:gridSpan w:val="3"/>
            <w:vAlign w:val="center"/>
          </w:tcPr>
          <w:p>
            <w:pPr>
              <w:ind w:firstLine="0" w:firstLineChars="0"/>
              <w:jc w:val="center"/>
              <w:rPr>
                <w:rFonts w:eastAsia="Times New Roman"/>
                <w:color w:val="000000"/>
                <w:kern w:val="1"/>
                <w:sz w:val="21"/>
                <w:szCs w:val="21"/>
              </w:rPr>
            </w:pPr>
            <w:r>
              <w:rPr>
                <w:rFonts w:eastAsia="Times New Roman"/>
                <w:color w:val="000000"/>
                <w:kern w:val="1"/>
                <w:sz w:val="21"/>
                <w:szCs w:val="21"/>
              </w:rPr>
              <w:t>76</w:t>
            </w:r>
          </w:p>
        </w:tc>
        <w:tc>
          <w:tcPr>
            <w:tcW w:w="2229" w:type="dxa"/>
            <w:gridSpan w:val="3"/>
            <w:vAlign w:val="center"/>
          </w:tcPr>
          <w:p>
            <w:pPr>
              <w:ind w:firstLine="0" w:firstLineChars="0"/>
              <w:jc w:val="center"/>
              <w:rPr>
                <w:b/>
                <w:color w:val="000000"/>
                <w:kern w:val="1"/>
              </w:rPr>
            </w:pPr>
            <w:r>
              <w:rPr>
                <w:b/>
                <w:color w:val="000000"/>
                <w:kern w:val="1"/>
              </w:rPr>
              <w:t>国开考试学分</w:t>
            </w:r>
          </w:p>
        </w:tc>
        <w:tc>
          <w:tcPr>
            <w:tcW w:w="2268" w:type="dxa"/>
            <w:gridSpan w:val="3"/>
            <w:vAlign w:val="center"/>
          </w:tcPr>
          <w:p>
            <w:pPr>
              <w:ind w:firstLine="0" w:firstLineChars="0"/>
              <w:jc w:val="center"/>
              <w:rPr>
                <w:color w:val="000000"/>
                <w:kern w:val="1"/>
                <w:sz w:val="21"/>
                <w:szCs w:val="21"/>
              </w:rPr>
            </w:pPr>
            <w:r>
              <w:rPr>
                <w:color w:val="000000"/>
                <w:kern w:val="1"/>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6" w:hRule="atLeast"/>
        </w:trPr>
        <w:tc>
          <w:tcPr>
            <w:tcW w:w="449" w:type="dxa"/>
            <w:tcMar>
              <w:top w:w="15" w:type="dxa"/>
              <w:left w:w="15" w:type="dxa"/>
              <w:right w:w="15" w:type="dxa"/>
            </w:tcMar>
            <w:vAlign w:val="center"/>
          </w:tcPr>
          <w:p>
            <w:pPr>
              <w:ind w:firstLine="0" w:firstLineChars="0"/>
              <w:jc w:val="center"/>
              <w:rPr>
                <w:b/>
                <w:color w:val="000000"/>
                <w:kern w:val="1"/>
              </w:rPr>
            </w:pPr>
            <w:r>
              <w:rPr>
                <w:b/>
                <w:color w:val="000000"/>
                <w:kern w:val="1"/>
              </w:rPr>
              <w:t>模块名</w:t>
            </w:r>
          </w:p>
        </w:tc>
        <w:tc>
          <w:tcPr>
            <w:tcW w:w="675" w:type="dxa"/>
            <w:vAlign w:val="center"/>
          </w:tcPr>
          <w:p>
            <w:pPr>
              <w:ind w:firstLine="0" w:firstLineChars="0"/>
              <w:jc w:val="center"/>
              <w:rPr>
                <w:b/>
                <w:color w:val="000000"/>
                <w:kern w:val="1"/>
              </w:rPr>
            </w:pPr>
            <w:r>
              <w:rPr>
                <w:b/>
                <w:color w:val="000000"/>
                <w:kern w:val="1"/>
              </w:rPr>
              <w:t>模块最低毕业学分</w:t>
            </w:r>
          </w:p>
        </w:tc>
        <w:tc>
          <w:tcPr>
            <w:tcW w:w="798" w:type="dxa"/>
            <w:vAlign w:val="center"/>
          </w:tcPr>
          <w:p>
            <w:pPr>
              <w:ind w:firstLine="0" w:firstLineChars="0"/>
              <w:jc w:val="center"/>
              <w:rPr>
                <w:b/>
                <w:color w:val="000000"/>
                <w:kern w:val="1"/>
              </w:rPr>
            </w:pPr>
            <w:r>
              <w:rPr>
                <w:b/>
                <w:color w:val="000000"/>
                <w:kern w:val="1"/>
              </w:rPr>
              <w:t>模块最低国家开放大学考试学分</w:t>
            </w:r>
          </w:p>
        </w:tc>
        <w:tc>
          <w:tcPr>
            <w:tcW w:w="725" w:type="dxa"/>
            <w:vAlign w:val="center"/>
          </w:tcPr>
          <w:p>
            <w:pPr>
              <w:ind w:firstLine="0" w:firstLineChars="0"/>
              <w:jc w:val="center"/>
              <w:rPr>
                <w:b/>
                <w:color w:val="000000"/>
                <w:kern w:val="1"/>
              </w:rPr>
            </w:pPr>
            <w:r>
              <w:rPr>
                <w:b/>
                <w:color w:val="000000"/>
                <w:kern w:val="1"/>
              </w:rPr>
              <w:t>模块设置最低学分</w:t>
            </w:r>
          </w:p>
        </w:tc>
        <w:tc>
          <w:tcPr>
            <w:tcW w:w="592" w:type="dxa"/>
            <w:vAlign w:val="center"/>
          </w:tcPr>
          <w:p>
            <w:pPr>
              <w:ind w:firstLine="0" w:firstLineChars="0"/>
              <w:jc w:val="center"/>
              <w:rPr>
                <w:b/>
                <w:color w:val="000000"/>
                <w:kern w:val="1"/>
              </w:rPr>
            </w:pPr>
            <w:r>
              <w:rPr>
                <w:b/>
                <w:color w:val="000000"/>
                <w:kern w:val="1"/>
              </w:rPr>
              <w:t>序号</w:t>
            </w:r>
          </w:p>
        </w:tc>
        <w:tc>
          <w:tcPr>
            <w:tcW w:w="792" w:type="dxa"/>
            <w:vAlign w:val="center"/>
          </w:tcPr>
          <w:p>
            <w:pPr>
              <w:ind w:firstLine="0" w:firstLineChars="0"/>
              <w:jc w:val="center"/>
              <w:rPr>
                <w:b/>
                <w:color w:val="000000"/>
                <w:kern w:val="1"/>
              </w:rPr>
            </w:pPr>
            <w:r>
              <w:rPr>
                <w:b/>
                <w:color w:val="000000"/>
                <w:kern w:val="1"/>
              </w:rPr>
              <w:t>课程</w:t>
            </w:r>
          </w:p>
          <w:p>
            <w:pPr>
              <w:ind w:firstLine="0" w:firstLineChars="0"/>
              <w:jc w:val="center"/>
              <w:rPr>
                <w:b/>
                <w:color w:val="000000"/>
                <w:kern w:val="1"/>
              </w:rPr>
            </w:pPr>
            <w:r>
              <w:rPr>
                <w:b/>
                <w:color w:val="000000"/>
                <w:kern w:val="1"/>
              </w:rPr>
              <w:t>代码</w:t>
            </w:r>
          </w:p>
        </w:tc>
        <w:tc>
          <w:tcPr>
            <w:tcW w:w="2410" w:type="dxa"/>
            <w:gridSpan w:val="2"/>
            <w:vAlign w:val="center"/>
          </w:tcPr>
          <w:p>
            <w:pPr>
              <w:ind w:firstLine="0" w:firstLineChars="0"/>
              <w:jc w:val="center"/>
              <w:rPr>
                <w:b/>
                <w:color w:val="000000"/>
                <w:kern w:val="1"/>
              </w:rPr>
            </w:pPr>
            <w:r>
              <w:rPr>
                <w:b/>
                <w:color w:val="000000"/>
                <w:kern w:val="1"/>
              </w:rPr>
              <w:t>课程名称</w:t>
            </w:r>
          </w:p>
        </w:tc>
        <w:tc>
          <w:tcPr>
            <w:tcW w:w="567" w:type="dxa"/>
            <w:vAlign w:val="center"/>
          </w:tcPr>
          <w:p>
            <w:pPr>
              <w:ind w:firstLine="0" w:firstLineChars="0"/>
              <w:jc w:val="center"/>
              <w:rPr>
                <w:b/>
                <w:color w:val="000000"/>
                <w:kern w:val="1"/>
              </w:rPr>
            </w:pPr>
            <w:r>
              <w:rPr>
                <w:b/>
                <w:color w:val="000000"/>
                <w:kern w:val="1"/>
              </w:rPr>
              <w:t>学分</w:t>
            </w:r>
          </w:p>
        </w:tc>
        <w:tc>
          <w:tcPr>
            <w:tcW w:w="992" w:type="dxa"/>
            <w:vAlign w:val="center"/>
          </w:tcPr>
          <w:p>
            <w:pPr>
              <w:ind w:firstLine="0" w:firstLineChars="0"/>
              <w:jc w:val="center"/>
              <w:rPr>
                <w:b/>
                <w:color w:val="000000"/>
                <w:kern w:val="1"/>
              </w:rPr>
            </w:pPr>
            <w:r>
              <w:rPr>
                <w:b/>
                <w:color w:val="000000"/>
                <w:kern w:val="1"/>
              </w:rPr>
              <w:t>课程</w:t>
            </w:r>
          </w:p>
          <w:p>
            <w:pPr>
              <w:ind w:firstLine="0" w:firstLineChars="0"/>
              <w:jc w:val="center"/>
              <w:rPr>
                <w:b/>
                <w:color w:val="000000"/>
                <w:kern w:val="1"/>
              </w:rPr>
            </w:pPr>
            <w:r>
              <w:rPr>
                <w:b/>
                <w:color w:val="000000"/>
                <w:kern w:val="1"/>
              </w:rPr>
              <w:t>类型</w:t>
            </w:r>
          </w:p>
        </w:tc>
        <w:tc>
          <w:tcPr>
            <w:tcW w:w="709" w:type="dxa"/>
            <w:vAlign w:val="center"/>
          </w:tcPr>
          <w:p>
            <w:pPr>
              <w:ind w:firstLine="0" w:firstLineChars="0"/>
              <w:jc w:val="center"/>
              <w:rPr>
                <w:b/>
                <w:color w:val="000000"/>
                <w:kern w:val="1"/>
              </w:rPr>
            </w:pPr>
            <w:r>
              <w:rPr>
                <w:b/>
                <w:color w:val="000000"/>
                <w:kern w:val="1"/>
              </w:rPr>
              <w:t>课程</w:t>
            </w:r>
          </w:p>
          <w:p>
            <w:pPr>
              <w:ind w:firstLine="0" w:firstLineChars="0"/>
              <w:jc w:val="center"/>
              <w:rPr>
                <w:b/>
                <w:color w:val="000000"/>
                <w:kern w:val="1"/>
              </w:rPr>
            </w:pPr>
            <w:r>
              <w:rPr>
                <w:b/>
                <w:color w:val="000000"/>
                <w:kern w:val="1"/>
              </w:rPr>
              <w:t>性质</w:t>
            </w:r>
          </w:p>
        </w:tc>
        <w:tc>
          <w:tcPr>
            <w:tcW w:w="547" w:type="dxa"/>
            <w:vAlign w:val="center"/>
          </w:tcPr>
          <w:p>
            <w:pPr>
              <w:ind w:firstLine="0" w:firstLineChars="0"/>
              <w:jc w:val="center"/>
              <w:rPr>
                <w:b/>
                <w:color w:val="000000"/>
                <w:kern w:val="1"/>
              </w:rPr>
            </w:pPr>
            <w:r>
              <w:rPr>
                <w:b/>
                <w:color w:val="000000"/>
                <w:kern w:val="1"/>
              </w:rPr>
              <w:t>建议开设学期</w:t>
            </w:r>
          </w:p>
        </w:tc>
        <w:tc>
          <w:tcPr>
            <w:tcW w:w="1012" w:type="dxa"/>
            <w:vAlign w:val="center"/>
          </w:tcPr>
          <w:p>
            <w:pPr>
              <w:ind w:firstLine="0" w:firstLineChars="0"/>
              <w:jc w:val="center"/>
              <w:rPr>
                <w:b/>
                <w:color w:val="000000"/>
                <w:kern w:val="1"/>
              </w:rPr>
            </w:pPr>
            <w:r>
              <w:rPr>
                <w:b/>
                <w:color w:val="000000"/>
                <w:kern w:val="1"/>
              </w:rPr>
              <w:t>考试</w:t>
            </w:r>
          </w:p>
          <w:p>
            <w:pPr>
              <w:ind w:firstLine="0" w:firstLineChars="0"/>
              <w:jc w:val="center"/>
              <w:rPr>
                <w:b/>
                <w:color w:val="000000"/>
                <w:kern w:val="1"/>
              </w:rPr>
            </w:pPr>
            <w:r>
              <w:rPr>
                <w:b/>
                <w:color w:val="000000"/>
                <w:kern w:val="1"/>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449" w:type="dxa"/>
            <w:vMerge w:val="restart"/>
            <w:tcMar>
              <w:top w:w="15" w:type="dxa"/>
              <w:left w:w="15" w:type="dxa"/>
              <w:right w:w="15" w:type="dxa"/>
            </w:tcMar>
            <w:vAlign w:val="center"/>
          </w:tcPr>
          <w:p>
            <w:pPr>
              <w:ind w:firstLine="0" w:firstLineChars="0"/>
              <w:jc w:val="center"/>
              <w:rPr>
                <w:color w:val="000000"/>
                <w:kern w:val="1"/>
              </w:rPr>
            </w:pPr>
            <w:r>
              <w:rPr>
                <w:color w:val="000000"/>
                <w:kern w:val="1"/>
              </w:rPr>
              <w:t>公</w:t>
            </w:r>
            <w:r>
              <w:rPr>
                <w:rFonts w:hint="eastAsia"/>
                <w:color w:val="000000"/>
                <w:kern w:val="1"/>
              </w:rPr>
              <w:t>共</w:t>
            </w:r>
            <w:r>
              <w:rPr>
                <w:color w:val="000000"/>
                <w:kern w:val="1"/>
              </w:rPr>
              <w:t>基础课</w:t>
            </w:r>
          </w:p>
        </w:tc>
        <w:tc>
          <w:tcPr>
            <w:tcW w:w="675"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9</w:t>
            </w:r>
          </w:p>
        </w:tc>
        <w:tc>
          <w:tcPr>
            <w:tcW w:w="798"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725"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12</w:t>
            </w: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02969</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中国特色社会主义理论体系概论</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02970</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国家开放大学学习指南</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01819</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英语</w:t>
            </w:r>
            <w:r>
              <w:rPr>
                <w:rFonts w:hint="eastAsia" w:ascii="宋体" w:hAnsi="宋体"/>
                <w:color w:val="000000"/>
                <w:kern w:val="1"/>
                <w:sz w:val="21"/>
                <w:szCs w:val="21"/>
              </w:rPr>
              <w:t>Ⅰ</w:t>
            </w:r>
            <w:r>
              <w:rPr>
                <w:rFonts w:ascii="宋体" w:hAnsi="宋体"/>
                <w:color w:val="000000"/>
                <w:kern w:val="1"/>
                <w:sz w:val="21"/>
                <w:szCs w:val="21"/>
              </w:rPr>
              <w:t>（1）</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w:t>
            </w:r>
            <w:r>
              <w:rPr>
                <w:rFonts w:ascii="宋体" w:hAnsi="宋体"/>
                <w:color w:val="000000"/>
                <w:kern w:val="1"/>
                <w:sz w:val="21"/>
                <w:szCs w:val="21"/>
              </w:rPr>
              <w:t>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00453</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高等数学基础</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w:t>
            </w:r>
            <w:r>
              <w:rPr>
                <w:rFonts w:ascii="宋体" w:hAnsi="宋体"/>
                <w:color w:val="000000"/>
                <w:kern w:val="1"/>
                <w:sz w:val="21"/>
                <w:szCs w:val="21"/>
              </w:rPr>
              <w:t>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计算机文化基础</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restart"/>
            <w:vAlign w:val="center"/>
          </w:tcPr>
          <w:p>
            <w:pPr>
              <w:ind w:firstLine="0" w:firstLineChars="0"/>
              <w:jc w:val="center"/>
              <w:rPr>
                <w:color w:val="000000"/>
                <w:kern w:val="1"/>
              </w:rPr>
            </w:pPr>
            <w:r>
              <w:rPr>
                <w:color w:val="000000"/>
                <w:kern w:val="1"/>
              </w:rPr>
              <w:t>专业基础课</w:t>
            </w:r>
          </w:p>
        </w:tc>
        <w:tc>
          <w:tcPr>
            <w:tcW w:w="675"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24</w:t>
            </w:r>
          </w:p>
        </w:tc>
        <w:tc>
          <w:tcPr>
            <w:tcW w:w="798" w:type="dxa"/>
            <w:vMerge w:val="restart"/>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1</w:t>
            </w:r>
            <w:r>
              <w:rPr>
                <w:rFonts w:ascii="宋体" w:hAnsi="宋体"/>
                <w:color w:val="000000"/>
                <w:kern w:val="1"/>
                <w:sz w:val="21"/>
                <w:szCs w:val="21"/>
              </w:rPr>
              <w:t>4</w:t>
            </w:r>
          </w:p>
        </w:tc>
        <w:tc>
          <w:tcPr>
            <w:tcW w:w="725"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26</w:t>
            </w: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52649</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安全管理</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101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安全系统工程</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1012" w:type="dxa"/>
            <w:vAlign w:val="center"/>
          </w:tcPr>
          <w:p>
            <w:pPr>
              <w:ind w:firstLine="0" w:firstLineChars="0"/>
              <w:jc w:val="center"/>
              <w:rPr>
                <w:rFonts w:ascii="宋体" w:hAnsi="宋体"/>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安全原理</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1012" w:type="dxa"/>
            <w:vAlign w:val="center"/>
          </w:tcPr>
          <w:p>
            <w:pPr>
              <w:ind w:firstLine="0" w:firstLineChars="0"/>
              <w:jc w:val="center"/>
              <w:rPr>
                <w:rFonts w:ascii="宋体" w:hAnsi="宋体"/>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安全人机工程</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1012" w:type="dxa"/>
            <w:vAlign w:val="center"/>
          </w:tcPr>
          <w:p>
            <w:pPr>
              <w:ind w:firstLine="0" w:firstLineChars="0"/>
              <w:jc w:val="center"/>
              <w:rPr>
                <w:rFonts w:ascii="宋体" w:hAnsi="宋体"/>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00494</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工程制图基础</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b/>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b/>
                <w:color w:val="000000"/>
                <w:kern w:val="1"/>
                <w:sz w:val="21"/>
                <w:szCs w:val="21"/>
              </w:rPr>
            </w:pPr>
            <w:r>
              <w:rPr>
                <w:rFonts w:hint="eastAsia" w:ascii="宋体" w:hAnsi="宋体"/>
                <w:color w:val="000000"/>
                <w:kern w:val="1"/>
                <w:sz w:val="21"/>
                <w:szCs w:val="21"/>
              </w:rPr>
              <w:t>选</w:t>
            </w:r>
            <w:r>
              <w:rPr>
                <w:rFonts w:ascii="宋体" w:hAnsi="宋体"/>
                <w:color w:val="000000"/>
                <w:kern w:val="1"/>
                <w:sz w:val="21"/>
                <w:szCs w:val="21"/>
              </w:rPr>
              <w:t>修</w:t>
            </w:r>
          </w:p>
        </w:tc>
        <w:tc>
          <w:tcPr>
            <w:tcW w:w="547" w:type="dxa"/>
            <w:vAlign w:val="center"/>
          </w:tcPr>
          <w:p>
            <w:pPr>
              <w:ind w:firstLine="0" w:firstLineChars="0"/>
              <w:jc w:val="center"/>
              <w:rPr>
                <w:rFonts w:ascii="宋体" w:hAnsi="宋体"/>
                <w:b/>
                <w:color w:val="000000"/>
                <w:kern w:val="1"/>
                <w:sz w:val="21"/>
                <w:szCs w:val="21"/>
              </w:rPr>
            </w:pPr>
            <w:r>
              <w:rPr>
                <w:rFonts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工业通风及除尘</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非</w:t>
            </w: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w:t>
            </w:r>
            <w:r>
              <w:rPr>
                <w:rFonts w:ascii="宋体" w:hAnsi="宋体"/>
                <w:color w:val="000000"/>
                <w:kern w:val="1"/>
                <w:sz w:val="21"/>
                <w:szCs w:val="21"/>
              </w:rPr>
              <w:t>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流体力学</w:t>
            </w:r>
            <w:r>
              <w:rPr>
                <w:rFonts w:hint="eastAsia" w:ascii="宋体" w:hAnsi="宋体"/>
                <w:color w:val="000000"/>
                <w:kern w:val="1"/>
                <w:sz w:val="21"/>
                <w:szCs w:val="21"/>
              </w:rPr>
              <w:t>与</w:t>
            </w:r>
            <w:r>
              <w:rPr>
                <w:rFonts w:ascii="宋体" w:hAnsi="宋体"/>
                <w:color w:val="000000"/>
                <w:kern w:val="1"/>
                <w:sz w:val="21"/>
                <w:szCs w:val="21"/>
              </w:rPr>
              <w:t>热工学基础</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安全管理文书写作</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b/>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信息管理系统</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restart"/>
            <w:tcMar>
              <w:top w:w="15" w:type="dxa"/>
              <w:left w:w="15" w:type="dxa"/>
              <w:right w:w="15" w:type="dxa"/>
            </w:tcMar>
            <w:vAlign w:val="center"/>
          </w:tcPr>
          <w:p>
            <w:pPr>
              <w:ind w:firstLine="0" w:firstLineChars="0"/>
              <w:jc w:val="center"/>
              <w:rPr>
                <w:color w:val="000000"/>
                <w:kern w:val="1"/>
              </w:rPr>
            </w:pPr>
            <w:r>
              <w:rPr>
                <w:color w:val="000000"/>
                <w:kern w:val="1"/>
              </w:rPr>
              <w:t>专业</w:t>
            </w:r>
          </w:p>
          <w:p>
            <w:pPr>
              <w:ind w:firstLine="0" w:firstLineChars="0"/>
              <w:jc w:val="center"/>
              <w:rPr>
                <w:color w:val="000000"/>
                <w:kern w:val="1"/>
              </w:rPr>
            </w:pPr>
            <w:r>
              <w:rPr>
                <w:color w:val="000000"/>
                <w:kern w:val="1"/>
              </w:rPr>
              <w:t>课</w:t>
            </w:r>
          </w:p>
        </w:tc>
        <w:tc>
          <w:tcPr>
            <w:tcW w:w="675" w:type="dxa"/>
            <w:vMerge w:val="restart"/>
            <w:vAlign w:val="center"/>
          </w:tcPr>
          <w:p>
            <w:pPr>
              <w:ind w:firstLine="0" w:firstLineChars="0"/>
              <w:jc w:val="center"/>
              <w:rPr>
                <w:rFonts w:ascii="宋体" w:hAnsi="宋体"/>
                <w:b/>
                <w:color w:val="000000"/>
                <w:kern w:val="1"/>
                <w:sz w:val="21"/>
                <w:szCs w:val="21"/>
              </w:rPr>
            </w:pPr>
            <w:r>
              <w:rPr>
                <w:rFonts w:ascii="宋体" w:hAnsi="宋体"/>
                <w:color w:val="000000"/>
                <w:kern w:val="1"/>
                <w:sz w:val="21"/>
                <w:szCs w:val="21"/>
              </w:rPr>
              <w:t>23</w:t>
            </w:r>
          </w:p>
        </w:tc>
        <w:tc>
          <w:tcPr>
            <w:tcW w:w="798"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13</w:t>
            </w:r>
          </w:p>
        </w:tc>
        <w:tc>
          <w:tcPr>
            <w:tcW w:w="725"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31</w:t>
            </w: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特种设备安全</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1012" w:type="dxa"/>
            <w:vAlign w:val="center"/>
          </w:tcPr>
          <w:p>
            <w:pPr>
              <w:ind w:firstLine="0" w:firstLineChars="0"/>
              <w:jc w:val="center"/>
              <w:rPr>
                <w:rFonts w:ascii="宋体" w:hAnsi="宋体"/>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事故管理与应急处置</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1012" w:type="dxa"/>
            <w:vAlign w:val="center"/>
          </w:tcPr>
          <w:p>
            <w:pPr>
              <w:ind w:firstLine="0" w:firstLineChars="0"/>
              <w:jc w:val="center"/>
              <w:rPr>
                <w:rFonts w:ascii="宋体" w:hAnsi="宋体"/>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职业卫生基础</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1012" w:type="dxa"/>
            <w:vAlign w:val="center"/>
          </w:tcPr>
          <w:p>
            <w:pPr>
              <w:ind w:firstLine="0" w:firstLineChars="0"/>
              <w:jc w:val="center"/>
              <w:rPr>
                <w:rFonts w:ascii="宋体" w:hAnsi="宋体"/>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电气安全技术</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必</w:t>
            </w:r>
            <w:r>
              <w:rPr>
                <w:rFonts w:ascii="宋体" w:hAnsi="宋体"/>
                <w:color w:val="000000"/>
                <w:kern w:val="1"/>
                <w:sz w:val="21"/>
                <w:szCs w:val="21"/>
              </w:rPr>
              <w:t>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1012" w:type="dxa"/>
            <w:vAlign w:val="center"/>
          </w:tcPr>
          <w:p>
            <w:pPr>
              <w:ind w:firstLine="0" w:firstLineChars="0"/>
              <w:jc w:val="center"/>
              <w:rPr>
                <w:rFonts w:ascii="宋体" w:hAnsi="宋体"/>
                <w:sz w:val="21"/>
                <w:szCs w:val="21"/>
              </w:rPr>
            </w:pPr>
            <w:r>
              <w:rPr>
                <w:rFonts w:ascii="宋体" w:hAnsi="宋体"/>
                <w:color w:val="000000"/>
                <w:kern w:val="1"/>
                <w:sz w:val="21"/>
                <w:szCs w:val="21"/>
              </w:rPr>
              <w:t>国开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安全评价</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非</w:t>
            </w: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w:t>
            </w:r>
            <w:r>
              <w:rPr>
                <w:rFonts w:ascii="宋体" w:hAnsi="宋体"/>
                <w:color w:val="000000"/>
                <w:kern w:val="1"/>
                <w:sz w:val="21"/>
                <w:szCs w:val="21"/>
              </w:rPr>
              <w:t>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03391</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工程项目管理</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9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非</w:t>
            </w: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w:t>
            </w:r>
            <w:r>
              <w:rPr>
                <w:rFonts w:ascii="宋体" w:hAnsi="宋体"/>
                <w:color w:val="000000"/>
                <w:kern w:val="1"/>
                <w:sz w:val="21"/>
                <w:szCs w:val="21"/>
              </w:rPr>
              <w:t>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防火防爆技术</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b/>
                <w:color w:val="000000"/>
                <w:kern w:val="1"/>
                <w:sz w:val="21"/>
                <w:szCs w:val="21"/>
              </w:rPr>
            </w:pPr>
            <w:r>
              <w:rPr>
                <w:rFonts w:ascii="宋体" w:hAnsi="宋体"/>
                <w:color w:val="000000"/>
                <w:kern w:val="1"/>
                <w:sz w:val="21"/>
                <w:szCs w:val="21"/>
              </w:rPr>
              <w:t>安全监测与监控</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安全法规</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高危行业安全</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restart"/>
            <w:tcMar>
              <w:top w:w="15" w:type="dxa"/>
              <w:left w:w="15" w:type="dxa"/>
              <w:right w:w="15" w:type="dxa"/>
            </w:tcMar>
            <w:vAlign w:val="center"/>
          </w:tcPr>
          <w:p>
            <w:pPr>
              <w:ind w:firstLine="0" w:firstLineChars="0"/>
              <w:jc w:val="center"/>
              <w:rPr>
                <w:color w:val="000000"/>
                <w:kern w:val="1"/>
              </w:rPr>
            </w:pPr>
            <w:r>
              <w:rPr>
                <w:rFonts w:hint="eastAsia"/>
                <w:color w:val="000000"/>
                <w:kern w:val="1"/>
              </w:rPr>
              <w:t>通识课</w:t>
            </w:r>
          </w:p>
        </w:tc>
        <w:tc>
          <w:tcPr>
            <w:tcW w:w="675" w:type="dxa"/>
            <w:vMerge w:val="restart"/>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2</w:t>
            </w:r>
          </w:p>
        </w:tc>
        <w:tc>
          <w:tcPr>
            <w:tcW w:w="798" w:type="dxa"/>
            <w:vMerge w:val="restart"/>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0</w:t>
            </w:r>
          </w:p>
        </w:tc>
        <w:tc>
          <w:tcPr>
            <w:tcW w:w="725" w:type="dxa"/>
            <w:vMerge w:val="restart"/>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10</w:t>
            </w: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51718</w:t>
            </w:r>
          </w:p>
        </w:tc>
        <w:tc>
          <w:tcPr>
            <w:tcW w:w="2410" w:type="dxa"/>
            <w:gridSpan w:val="2"/>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地域文化（专）</w:t>
            </w:r>
          </w:p>
        </w:tc>
        <w:tc>
          <w:tcPr>
            <w:tcW w:w="56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51709</w:t>
            </w:r>
          </w:p>
        </w:tc>
        <w:tc>
          <w:tcPr>
            <w:tcW w:w="2410" w:type="dxa"/>
            <w:gridSpan w:val="2"/>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社交礼仪</w:t>
            </w:r>
          </w:p>
        </w:tc>
        <w:tc>
          <w:tcPr>
            <w:tcW w:w="56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02495</w:t>
            </w:r>
          </w:p>
        </w:tc>
        <w:tc>
          <w:tcPr>
            <w:tcW w:w="2410" w:type="dxa"/>
            <w:gridSpan w:val="2"/>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实用法律基础</w:t>
            </w:r>
          </w:p>
        </w:tc>
        <w:tc>
          <w:tcPr>
            <w:tcW w:w="56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51684</w:t>
            </w:r>
          </w:p>
        </w:tc>
        <w:tc>
          <w:tcPr>
            <w:tcW w:w="2410" w:type="dxa"/>
            <w:gridSpan w:val="2"/>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实用写作</w:t>
            </w:r>
          </w:p>
        </w:tc>
        <w:tc>
          <w:tcPr>
            <w:tcW w:w="56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汉</w:t>
            </w:r>
            <w:r>
              <w:rPr>
                <w:rFonts w:ascii="宋体" w:hAnsi="宋体"/>
                <w:color w:val="000000"/>
                <w:kern w:val="1"/>
                <w:sz w:val="21"/>
                <w:szCs w:val="21"/>
              </w:rPr>
              <w:t>唐文化</w:t>
            </w:r>
          </w:p>
        </w:tc>
        <w:tc>
          <w:tcPr>
            <w:tcW w:w="56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2</w:t>
            </w:r>
          </w:p>
        </w:tc>
        <w:tc>
          <w:tcPr>
            <w:tcW w:w="99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1</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restart"/>
            <w:tcMar>
              <w:top w:w="15" w:type="dxa"/>
              <w:left w:w="15" w:type="dxa"/>
              <w:right w:w="15" w:type="dxa"/>
            </w:tcMar>
            <w:vAlign w:val="center"/>
          </w:tcPr>
          <w:p>
            <w:pPr>
              <w:ind w:firstLine="0" w:firstLineChars="0"/>
              <w:jc w:val="center"/>
              <w:rPr>
                <w:color w:val="000000"/>
                <w:kern w:val="1"/>
              </w:rPr>
            </w:pPr>
            <w:r>
              <w:rPr>
                <w:color w:val="000000"/>
                <w:kern w:val="1"/>
              </w:rPr>
              <w:t>综合实践</w:t>
            </w:r>
          </w:p>
        </w:tc>
        <w:tc>
          <w:tcPr>
            <w:tcW w:w="675"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14</w:t>
            </w:r>
          </w:p>
        </w:tc>
        <w:tc>
          <w:tcPr>
            <w:tcW w:w="798"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0</w:t>
            </w:r>
          </w:p>
        </w:tc>
        <w:tc>
          <w:tcPr>
            <w:tcW w:w="725"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20</w:t>
            </w: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毕业实践</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8</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必修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5</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工业通风除尘课程设计</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防火防爆课程设计</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安全评价课程设计</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tcMar>
              <w:top w:w="15" w:type="dxa"/>
              <w:left w:w="15" w:type="dxa"/>
              <w:right w:w="15" w:type="dxa"/>
            </w:tcMar>
            <w:vAlign w:val="center"/>
          </w:tcPr>
          <w:p>
            <w:pPr>
              <w:ind w:firstLine="0" w:firstLineChars="0"/>
              <w:jc w:val="center"/>
              <w:rPr>
                <w:color w:val="000000"/>
                <w:kern w:val="1"/>
              </w:rPr>
            </w:pPr>
          </w:p>
        </w:tc>
        <w:tc>
          <w:tcPr>
            <w:tcW w:w="675" w:type="dxa"/>
            <w:vMerge w:val="continue"/>
            <w:vAlign w:val="center"/>
          </w:tcPr>
          <w:p>
            <w:pPr>
              <w:ind w:firstLine="0" w:firstLineChars="0"/>
              <w:jc w:val="center"/>
              <w:rPr>
                <w:rFonts w:ascii="宋体" w:hAnsi="宋体"/>
                <w:color w:val="000000"/>
                <w:kern w:val="1"/>
                <w:sz w:val="21"/>
                <w:szCs w:val="21"/>
              </w:rPr>
            </w:pPr>
          </w:p>
        </w:tc>
        <w:tc>
          <w:tcPr>
            <w:tcW w:w="798" w:type="dxa"/>
            <w:vMerge w:val="continue"/>
            <w:vAlign w:val="center"/>
          </w:tcPr>
          <w:p>
            <w:pPr>
              <w:ind w:firstLine="0" w:firstLineChars="0"/>
              <w:jc w:val="center"/>
              <w:rPr>
                <w:rFonts w:ascii="宋体" w:hAnsi="宋体"/>
                <w:color w:val="000000"/>
                <w:kern w:val="1"/>
                <w:sz w:val="21"/>
                <w:szCs w:val="21"/>
              </w:rPr>
            </w:pPr>
          </w:p>
        </w:tc>
        <w:tc>
          <w:tcPr>
            <w:tcW w:w="725" w:type="dxa"/>
            <w:vMerge w:val="continue"/>
            <w:vAlign w:val="center"/>
          </w:tcPr>
          <w:p>
            <w:pPr>
              <w:ind w:firstLine="0" w:firstLineChars="0"/>
              <w:jc w:val="center"/>
              <w:rPr>
                <w:rFonts w:ascii="宋体" w:hAnsi="宋体"/>
                <w:color w:val="000000"/>
                <w:kern w:val="1"/>
                <w:sz w:val="21"/>
                <w:szCs w:val="21"/>
              </w:rPr>
            </w:pPr>
          </w:p>
        </w:tc>
        <w:tc>
          <w:tcPr>
            <w:tcW w:w="592" w:type="dxa"/>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职业危害因素分析评价</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restart"/>
            <w:vAlign w:val="center"/>
          </w:tcPr>
          <w:p>
            <w:pPr>
              <w:ind w:firstLine="0" w:firstLineChars="0"/>
              <w:jc w:val="center"/>
              <w:rPr>
                <w:color w:val="000000"/>
                <w:kern w:val="1"/>
              </w:rPr>
            </w:pPr>
            <w:r>
              <w:rPr>
                <w:color w:val="000000"/>
                <w:kern w:val="1"/>
              </w:rPr>
              <w:t>特色课</w:t>
            </w:r>
          </w:p>
        </w:tc>
        <w:tc>
          <w:tcPr>
            <w:tcW w:w="675"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0</w:t>
            </w:r>
          </w:p>
        </w:tc>
        <w:tc>
          <w:tcPr>
            <w:tcW w:w="798"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0</w:t>
            </w:r>
          </w:p>
        </w:tc>
        <w:tc>
          <w:tcPr>
            <w:tcW w:w="725" w:type="dxa"/>
            <w:vMerge w:val="restart"/>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9</w:t>
            </w: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消防安全</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建筑施工安全</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9" w:type="dxa"/>
            <w:vMerge w:val="continue"/>
            <w:vAlign w:val="center"/>
          </w:tcPr>
          <w:p>
            <w:pPr>
              <w:ind w:firstLine="0" w:firstLineChars="0"/>
              <w:jc w:val="left"/>
              <w:rPr>
                <w:color w:val="000000"/>
                <w:kern w:val="1"/>
              </w:rPr>
            </w:pPr>
          </w:p>
        </w:tc>
        <w:tc>
          <w:tcPr>
            <w:tcW w:w="675" w:type="dxa"/>
            <w:vMerge w:val="continue"/>
            <w:vAlign w:val="center"/>
          </w:tcPr>
          <w:p>
            <w:pPr>
              <w:ind w:firstLine="0" w:firstLineChars="0"/>
              <w:jc w:val="left"/>
              <w:rPr>
                <w:rFonts w:ascii="宋体" w:hAnsi="宋体"/>
                <w:color w:val="000000"/>
                <w:kern w:val="1"/>
                <w:sz w:val="21"/>
                <w:szCs w:val="21"/>
              </w:rPr>
            </w:pPr>
          </w:p>
        </w:tc>
        <w:tc>
          <w:tcPr>
            <w:tcW w:w="798" w:type="dxa"/>
            <w:vMerge w:val="continue"/>
            <w:vAlign w:val="center"/>
          </w:tcPr>
          <w:p>
            <w:pPr>
              <w:ind w:firstLine="0" w:firstLineChars="0"/>
              <w:jc w:val="left"/>
              <w:rPr>
                <w:rFonts w:ascii="宋体" w:hAnsi="宋体"/>
                <w:color w:val="000000"/>
                <w:kern w:val="1"/>
                <w:sz w:val="21"/>
                <w:szCs w:val="21"/>
              </w:rPr>
            </w:pPr>
          </w:p>
        </w:tc>
        <w:tc>
          <w:tcPr>
            <w:tcW w:w="725" w:type="dxa"/>
            <w:vMerge w:val="continue"/>
            <w:vAlign w:val="center"/>
          </w:tcPr>
          <w:p>
            <w:pPr>
              <w:ind w:firstLine="0" w:firstLineChars="0"/>
              <w:jc w:val="left"/>
              <w:rPr>
                <w:rFonts w:ascii="宋体" w:hAnsi="宋体"/>
                <w:color w:val="000000"/>
                <w:kern w:val="1"/>
                <w:sz w:val="21"/>
                <w:szCs w:val="21"/>
              </w:rPr>
            </w:pPr>
          </w:p>
        </w:tc>
        <w:tc>
          <w:tcPr>
            <w:tcW w:w="592" w:type="dxa"/>
            <w:tcMar>
              <w:top w:w="15" w:type="dxa"/>
              <w:left w:w="15" w:type="dxa"/>
              <w:right w:w="15" w:type="dxa"/>
            </w:tcMar>
            <w:vAlign w:val="center"/>
          </w:tcPr>
          <w:p>
            <w:pPr>
              <w:numPr>
                <w:ilvl w:val="0"/>
                <w:numId w:val="3"/>
              </w:numPr>
              <w:spacing w:line="240" w:lineRule="auto"/>
              <w:ind w:firstLineChars="0"/>
              <w:jc w:val="center"/>
              <w:rPr>
                <w:rFonts w:ascii="宋体" w:hAnsi="宋体"/>
                <w:color w:val="000000"/>
                <w:kern w:val="1"/>
                <w:sz w:val="21"/>
                <w:szCs w:val="21"/>
              </w:rPr>
            </w:pPr>
          </w:p>
        </w:tc>
        <w:tc>
          <w:tcPr>
            <w:tcW w:w="7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自建</w:t>
            </w:r>
          </w:p>
        </w:tc>
        <w:tc>
          <w:tcPr>
            <w:tcW w:w="2410" w:type="dxa"/>
            <w:gridSpan w:val="2"/>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安全工程师培训课程</w:t>
            </w:r>
          </w:p>
        </w:tc>
        <w:tc>
          <w:tcPr>
            <w:tcW w:w="56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992"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非统设</w:t>
            </w:r>
          </w:p>
        </w:tc>
        <w:tc>
          <w:tcPr>
            <w:tcW w:w="709"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选修</w:t>
            </w:r>
          </w:p>
        </w:tc>
        <w:tc>
          <w:tcPr>
            <w:tcW w:w="54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5</w:t>
            </w:r>
          </w:p>
        </w:tc>
        <w:tc>
          <w:tcPr>
            <w:tcW w:w="1012"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分部</w:t>
            </w:r>
          </w:p>
        </w:tc>
      </w:tr>
    </w:tbl>
    <w:p>
      <w:pPr>
        <w:ind w:firstLine="0" w:firstLineChars="0"/>
        <w:jc w:val="center"/>
        <w:rPr>
          <w:rFonts w:ascii="宋体" w:hAnsi="宋体"/>
          <w:b/>
          <w:sz w:val="32"/>
          <w:szCs w:val="32"/>
        </w:rPr>
      </w:pPr>
      <w:r>
        <w:rPr>
          <w:rFonts w:hint="eastAsia" w:ascii="宋体" w:hAnsi="宋体"/>
          <w:b/>
          <w:sz w:val="32"/>
          <w:szCs w:val="32"/>
        </w:rPr>
        <w:t>资源</w:t>
      </w:r>
      <w:r>
        <w:rPr>
          <w:rFonts w:ascii="宋体" w:hAnsi="宋体"/>
          <w:b/>
          <w:sz w:val="32"/>
          <w:szCs w:val="32"/>
        </w:rPr>
        <w:t>环境与安全</w:t>
      </w:r>
      <w:r>
        <w:rPr>
          <w:rFonts w:hint="eastAsia" w:ascii="宋体" w:hAnsi="宋体"/>
          <w:b/>
          <w:sz w:val="32"/>
          <w:szCs w:val="32"/>
        </w:rPr>
        <w:t>大类安全类</w:t>
      </w:r>
    </w:p>
    <w:p>
      <w:pPr>
        <w:spacing w:afterLines="50"/>
        <w:ind w:firstLine="0" w:firstLineChars="0"/>
        <w:jc w:val="center"/>
        <w:rPr>
          <w:rFonts w:ascii="宋体" w:hAnsi="宋体"/>
          <w:b/>
          <w:sz w:val="21"/>
          <w:szCs w:val="22"/>
        </w:rPr>
      </w:pPr>
      <w:r>
        <w:rPr>
          <w:rFonts w:hint="eastAsia" w:ascii="宋体" w:hAnsi="宋体"/>
          <w:b/>
          <w:sz w:val="32"/>
          <w:szCs w:val="32"/>
        </w:rPr>
        <w:t>安全</w:t>
      </w:r>
      <w:r>
        <w:rPr>
          <w:rFonts w:ascii="宋体" w:hAnsi="宋体"/>
          <w:b/>
          <w:sz w:val="32"/>
          <w:szCs w:val="32"/>
        </w:rPr>
        <w:t>技术与管理</w:t>
      </w:r>
      <w:r>
        <w:rPr>
          <w:rFonts w:hint="eastAsia" w:ascii="宋体" w:hAnsi="宋体"/>
          <w:b/>
          <w:sz w:val="32"/>
          <w:szCs w:val="32"/>
        </w:rPr>
        <w:t>（专科）专业规则说明</w:t>
      </w:r>
    </w:p>
    <w:tbl>
      <w:tblPr>
        <w:tblStyle w:val="16"/>
        <w:tblW w:w="9371" w:type="dxa"/>
        <w:tblInd w:w="-15"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93"/>
        <w:gridCol w:w="708"/>
        <w:gridCol w:w="1025"/>
        <w:gridCol w:w="5794"/>
        <w:gridCol w:w="851"/>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2726" w:type="dxa"/>
            <w:gridSpan w:val="3"/>
            <w:vAlign w:val="center"/>
          </w:tcPr>
          <w:p>
            <w:pPr>
              <w:ind w:firstLine="0" w:firstLineChars="0"/>
              <w:jc w:val="center"/>
              <w:rPr>
                <w:rFonts w:ascii="宋体" w:hAnsi="宋体"/>
                <w:b/>
                <w:color w:val="000000"/>
              </w:rPr>
            </w:pPr>
            <w:r>
              <w:rPr>
                <w:rFonts w:hint="eastAsia" w:ascii="宋体" w:hAnsi="宋体"/>
                <w:b/>
                <w:color w:val="000000"/>
              </w:rPr>
              <w:t>专业名称</w:t>
            </w:r>
          </w:p>
        </w:tc>
        <w:tc>
          <w:tcPr>
            <w:tcW w:w="6645" w:type="dxa"/>
            <w:gridSpan w:val="2"/>
            <w:vAlign w:val="center"/>
          </w:tcPr>
          <w:p>
            <w:pPr>
              <w:ind w:firstLine="0" w:firstLineChars="0"/>
              <w:jc w:val="center"/>
            </w:pPr>
            <w:r>
              <w:rPr>
                <w:rFonts w:hint="eastAsia" w:ascii="宋体" w:hAnsi="宋体"/>
                <w:b/>
                <w:color w:val="000000"/>
              </w:rPr>
              <w:t>安全技术</w:t>
            </w:r>
            <w:r>
              <w:rPr>
                <w:rFonts w:ascii="宋体" w:hAnsi="宋体"/>
                <w:b/>
                <w:color w:val="000000"/>
              </w:rPr>
              <w:t>与管理专业（</w:t>
            </w:r>
            <w:r>
              <w:rPr>
                <w:rFonts w:hint="eastAsia" w:ascii="宋体" w:hAnsi="宋体"/>
                <w:b/>
                <w:color w:val="000000"/>
              </w:rPr>
              <w:t>专科）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2" w:hRule="atLeast"/>
        </w:trPr>
        <w:tc>
          <w:tcPr>
            <w:tcW w:w="2726" w:type="dxa"/>
            <w:gridSpan w:val="3"/>
            <w:vAlign w:val="center"/>
          </w:tcPr>
          <w:p>
            <w:pPr>
              <w:ind w:firstLine="0" w:firstLineChars="0"/>
              <w:rPr>
                <w:rFonts w:ascii="Calibri" w:hAnsi="Calibri"/>
                <w:b/>
              </w:rPr>
            </w:pPr>
            <w:r>
              <w:rPr>
                <w:rFonts w:hint="eastAsia" w:ascii="Calibri" w:hAnsi="Calibri"/>
                <w:b/>
              </w:rPr>
              <w:t>一、招生对象</w:t>
            </w:r>
          </w:p>
        </w:tc>
        <w:tc>
          <w:tcPr>
            <w:tcW w:w="6645" w:type="dxa"/>
            <w:gridSpan w:val="2"/>
            <w:vAlign w:val="center"/>
          </w:tcPr>
          <w:p>
            <w:pPr>
              <w:ind w:firstLine="482"/>
              <w:jc w:val="left"/>
              <w:rPr>
                <w:rFonts w:ascii="Calibri" w:hAnsi="Calibri"/>
                <w:b/>
              </w:rPr>
            </w:pPr>
            <w:r>
              <w:rPr>
                <w:rFonts w:hint="eastAsia" w:ascii="Calibri" w:hAnsi="Calibri"/>
                <w:b/>
              </w:rPr>
              <w:t>具有高中学历（含同等学历）及以上学历者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836" w:hRule="atLeast"/>
        </w:trPr>
        <w:tc>
          <w:tcPr>
            <w:tcW w:w="993" w:type="dxa"/>
            <w:vMerge w:val="restart"/>
            <w:vAlign w:val="center"/>
          </w:tcPr>
          <w:p>
            <w:pPr>
              <w:spacing w:line="240" w:lineRule="auto"/>
              <w:ind w:firstLine="0" w:firstLineChars="0"/>
              <w:jc w:val="center"/>
              <w:rPr>
                <w:rFonts w:ascii="Calibri" w:hAnsi="Calibri"/>
                <w:b/>
              </w:rPr>
            </w:pPr>
            <w:r>
              <w:rPr>
                <w:rFonts w:hint="eastAsia" w:ascii="Calibri" w:hAnsi="Calibri"/>
                <w:b/>
              </w:rPr>
              <w:t>二、培养目标与要求</w:t>
            </w:r>
          </w:p>
        </w:tc>
        <w:tc>
          <w:tcPr>
            <w:tcW w:w="1733" w:type="dxa"/>
            <w:gridSpan w:val="2"/>
            <w:vAlign w:val="center"/>
          </w:tcPr>
          <w:p>
            <w:pPr>
              <w:spacing w:line="240" w:lineRule="auto"/>
              <w:ind w:firstLine="0" w:firstLineChars="0"/>
            </w:pPr>
            <w:r>
              <w:t>2.1  培养目标</w:t>
            </w:r>
          </w:p>
        </w:tc>
        <w:tc>
          <w:tcPr>
            <w:tcW w:w="6645" w:type="dxa"/>
            <w:gridSpan w:val="2"/>
            <w:vAlign w:val="center"/>
          </w:tcPr>
          <w:p>
            <w:pPr>
              <w:ind w:firstLine="420"/>
              <w:rPr>
                <w:rFonts w:ascii="宋体" w:hAnsi="宋体"/>
                <w:b/>
                <w:color w:val="FF0000"/>
                <w:kern w:val="0"/>
                <w:sz w:val="21"/>
                <w:szCs w:val="21"/>
              </w:rPr>
            </w:pPr>
            <w:r>
              <w:rPr>
                <w:rFonts w:hint="eastAsia" w:ascii="宋体" w:hAnsi="宋体"/>
                <w:kern w:val="0"/>
                <w:sz w:val="21"/>
                <w:szCs w:val="21"/>
              </w:rPr>
              <w:t>本</w:t>
            </w:r>
            <w:r>
              <w:rPr>
                <w:rFonts w:ascii="宋体" w:hAnsi="宋体"/>
                <w:kern w:val="0"/>
                <w:sz w:val="21"/>
                <w:szCs w:val="21"/>
              </w:rPr>
              <w:t>专业</w:t>
            </w:r>
            <w:r>
              <w:rPr>
                <w:rFonts w:hint="eastAsia" w:ascii="宋体" w:hAnsi="宋体"/>
                <w:kern w:val="0"/>
                <w:sz w:val="21"/>
                <w:szCs w:val="21"/>
              </w:rPr>
              <w:t>培养</w:t>
            </w:r>
            <w:r>
              <w:rPr>
                <w:rFonts w:ascii="宋体" w:hAnsi="宋体"/>
                <w:kern w:val="0"/>
                <w:sz w:val="21"/>
                <w:szCs w:val="21"/>
              </w:rPr>
              <w:t>面向生产、建设、管理一线</w:t>
            </w:r>
            <w:r>
              <w:rPr>
                <w:rFonts w:hint="eastAsia" w:ascii="宋体" w:hAnsi="宋体"/>
                <w:kern w:val="0"/>
                <w:sz w:val="21"/>
                <w:szCs w:val="21"/>
              </w:rPr>
              <w:t>，能</w:t>
            </w:r>
            <w:r>
              <w:rPr>
                <w:rFonts w:ascii="宋体" w:hAnsi="宋体"/>
                <w:kern w:val="0"/>
                <w:sz w:val="21"/>
                <w:szCs w:val="21"/>
              </w:rPr>
              <w:t>掌握安全科学、安全工程及技术的</w:t>
            </w:r>
            <w:r>
              <w:rPr>
                <w:rFonts w:hint="eastAsia" w:ascii="宋体" w:hAnsi="宋体"/>
                <w:kern w:val="0"/>
                <w:sz w:val="21"/>
                <w:szCs w:val="21"/>
              </w:rPr>
              <w:t>基础</w:t>
            </w:r>
            <w:r>
              <w:rPr>
                <w:rFonts w:ascii="宋体" w:hAnsi="宋体"/>
                <w:kern w:val="0"/>
                <w:sz w:val="21"/>
                <w:szCs w:val="21"/>
              </w:rPr>
              <w:t>理论知识，具有安全检测、安全评价、</w:t>
            </w:r>
            <w:r>
              <w:rPr>
                <w:rFonts w:hint="eastAsia" w:ascii="宋体" w:hAnsi="宋体"/>
                <w:kern w:val="0"/>
                <w:sz w:val="21"/>
                <w:szCs w:val="21"/>
              </w:rPr>
              <w:t>安全</w:t>
            </w:r>
            <w:r>
              <w:rPr>
                <w:rFonts w:ascii="宋体" w:hAnsi="宋体"/>
                <w:kern w:val="0"/>
                <w:sz w:val="21"/>
                <w:szCs w:val="21"/>
              </w:rPr>
              <w:t>管理</w:t>
            </w:r>
            <w:r>
              <w:rPr>
                <w:rFonts w:hint="eastAsia" w:ascii="宋体" w:hAnsi="宋体"/>
                <w:kern w:val="0"/>
                <w:sz w:val="21"/>
                <w:szCs w:val="21"/>
              </w:rPr>
              <w:t>等</w:t>
            </w:r>
            <w:r>
              <w:rPr>
                <w:rFonts w:ascii="宋体" w:hAnsi="宋体"/>
                <w:kern w:val="0"/>
                <w:sz w:val="21"/>
                <w:szCs w:val="21"/>
              </w:rPr>
              <w:t>安全核心能力的专业技术人</w:t>
            </w:r>
            <w:r>
              <w:rPr>
                <w:rFonts w:hint="eastAsia" w:ascii="宋体" w:hAnsi="宋体"/>
                <w:kern w:val="0"/>
                <w:sz w:val="21"/>
                <w:szCs w:val="21"/>
              </w:rPr>
              <w:t>才，</w:t>
            </w:r>
            <w:r>
              <w:rPr>
                <w:rFonts w:ascii="宋体" w:hAnsi="宋体"/>
                <w:kern w:val="0"/>
                <w:sz w:val="21"/>
                <w:szCs w:val="21"/>
              </w:rPr>
              <w:t>并具有时代创新精神和可持续发展的能力</w:t>
            </w:r>
            <w:r>
              <w:rPr>
                <w:rFonts w:hint="eastAsia" w:ascii="宋体" w:hAnsi="宋体"/>
                <w:kern w:val="0"/>
                <w:sz w:val="21"/>
                <w:szCs w:val="21"/>
              </w:rPr>
              <w:t>、</w:t>
            </w:r>
            <w:r>
              <w:rPr>
                <w:rFonts w:ascii="宋体" w:hAnsi="宋体"/>
                <w:kern w:val="0"/>
                <w:sz w:val="21"/>
                <w:szCs w:val="21"/>
              </w:rPr>
              <w:t>高素质</w:t>
            </w:r>
            <w:r>
              <w:rPr>
                <w:rFonts w:hint="eastAsia" w:ascii="宋体" w:hAnsi="宋体"/>
                <w:kern w:val="0"/>
                <w:sz w:val="21"/>
                <w:szCs w:val="21"/>
              </w:rPr>
              <w:t>的</w:t>
            </w:r>
            <w:r>
              <w:rPr>
                <w:rFonts w:ascii="宋体" w:hAnsi="宋体"/>
                <w:kern w:val="0"/>
                <w:sz w:val="21"/>
                <w:szCs w:val="21"/>
              </w:rPr>
              <w:t>技术应用型人才。</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471" w:hRule="atLeast"/>
        </w:trPr>
        <w:tc>
          <w:tcPr>
            <w:tcW w:w="993" w:type="dxa"/>
            <w:vMerge w:val="continue"/>
            <w:vAlign w:val="center"/>
          </w:tcPr>
          <w:p>
            <w:pPr>
              <w:spacing w:line="280" w:lineRule="exact"/>
              <w:ind w:firstLine="0" w:firstLineChars="0"/>
              <w:rPr>
                <w:rFonts w:ascii="Calibri" w:hAnsi="Calibri"/>
              </w:rPr>
            </w:pPr>
          </w:p>
        </w:tc>
        <w:tc>
          <w:tcPr>
            <w:tcW w:w="1733" w:type="dxa"/>
            <w:gridSpan w:val="2"/>
            <w:vAlign w:val="center"/>
          </w:tcPr>
          <w:p>
            <w:pPr>
              <w:spacing w:line="240" w:lineRule="auto"/>
              <w:ind w:firstLine="0" w:firstLineChars="0"/>
            </w:pPr>
            <w:r>
              <w:t>2.2  培养要求</w:t>
            </w:r>
          </w:p>
        </w:tc>
        <w:tc>
          <w:tcPr>
            <w:tcW w:w="6645" w:type="dxa"/>
            <w:gridSpan w:val="2"/>
            <w:vAlign w:val="center"/>
          </w:tcPr>
          <w:p>
            <w:pPr>
              <w:ind w:firstLine="420"/>
              <w:rPr>
                <w:rFonts w:ascii="宋体" w:hAnsi="宋体"/>
                <w:kern w:val="0"/>
                <w:sz w:val="21"/>
                <w:szCs w:val="21"/>
              </w:rPr>
            </w:pPr>
            <w:r>
              <w:rPr>
                <w:rFonts w:ascii="宋体" w:hAnsi="宋体"/>
                <w:sz w:val="21"/>
                <w:szCs w:val="21"/>
              </w:rPr>
              <w:t>1</w:t>
            </w:r>
            <w:r>
              <w:rPr>
                <w:rFonts w:ascii="宋体" w:hAnsi="宋体"/>
                <w:kern w:val="0"/>
                <w:sz w:val="21"/>
                <w:szCs w:val="21"/>
              </w:rPr>
              <w:t>. 政治思想方面：拥护党的基本路线，热爱祖国，具有全心全意为人民服务精神，遵纪守法，有良好的社会公共道德和职业道德。</w:t>
            </w:r>
          </w:p>
          <w:p>
            <w:pPr>
              <w:ind w:firstLine="420"/>
              <w:rPr>
                <w:rFonts w:ascii="宋体" w:hAnsi="宋体"/>
                <w:kern w:val="0"/>
                <w:sz w:val="21"/>
                <w:szCs w:val="21"/>
              </w:rPr>
            </w:pPr>
            <w:r>
              <w:rPr>
                <w:rFonts w:ascii="宋体" w:hAnsi="宋体"/>
                <w:kern w:val="0"/>
                <w:sz w:val="21"/>
                <w:szCs w:val="21"/>
              </w:rPr>
              <w:t>2. 能力方面：较强的计划、组织、协调和与他人沟通、合作能力；具有吃苦耐劳的敬业精神、开拓进取和求实创新的能力；具有服从领导意识和承受社会压力的能力；具有较强的口语与书面表达能力。</w:t>
            </w:r>
          </w:p>
          <w:p>
            <w:pPr>
              <w:ind w:firstLine="420"/>
              <w:rPr>
                <w:rFonts w:ascii="宋体" w:hAnsi="宋体"/>
                <w:kern w:val="0"/>
                <w:sz w:val="21"/>
                <w:szCs w:val="21"/>
              </w:rPr>
            </w:pPr>
            <w:r>
              <w:rPr>
                <w:rFonts w:ascii="宋体" w:hAnsi="宋体"/>
                <w:kern w:val="0"/>
                <w:sz w:val="21"/>
                <w:szCs w:val="21"/>
              </w:rPr>
              <w:t>3. 文化知识方面：具有高中及以上文化基础知识、语言及应用写作基础知识、计算机基础知识，具有一定的外语水平。</w:t>
            </w:r>
          </w:p>
          <w:p>
            <w:pPr>
              <w:ind w:firstLine="420"/>
              <w:rPr>
                <w:rFonts w:ascii="宋体" w:hAnsi="宋体"/>
                <w:sz w:val="21"/>
                <w:szCs w:val="21"/>
              </w:rPr>
            </w:pPr>
            <w:r>
              <w:rPr>
                <w:rFonts w:ascii="宋体" w:hAnsi="宋体"/>
                <w:kern w:val="0"/>
                <w:sz w:val="21"/>
                <w:szCs w:val="21"/>
              </w:rPr>
              <w:t>4. 专业/职业技能方面</w:t>
            </w:r>
            <w:r>
              <w:rPr>
                <w:rFonts w:hint="eastAsia" w:ascii="宋体" w:hAnsi="宋体"/>
                <w:kern w:val="0"/>
                <w:sz w:val="21"/>
                <w:szCs w:val="21"/>
              </w:rPr>
              <w:t>：</w:t>
            </w:r>
            <w:r>
              <w:rPr>
                <w:rFonts w:ascii="宋体" w:hAnsi="宋体"/>
                <w:kern w:val="0"/>
                <w:sz w:val="21"/>
                <w:szCs w:val="21"/>
              </w:rPr>
              <w:t>在掌握我国安全生产法律法规的基础上，按照</w:t>
            </w:r>
            <w:r>
              <w:rPr>
                <w:rFonts w:hint="eastAsia" w:ascii="宋体" w:hAnsi="宋体"/>
                <w:kern w:val="0"/>
                <w:sz w:val="21"/>
                <w:szCs w:val="21"/>
              </w:rPr>
              <w:t>安全系统</w:t>
            </w:r>
            <w:r>
              <w:rPr>
                <w:rFonts w:ascii="宋体" w:hAnsi="宋体"/>
                <w:kern w:val="0"/>
                <w:sz w:val="21"/>
                <w:szCs w:val="21"/>
              </w:rPr>
              <w:t>工程原理、劳动安全科学管理方法和现代安全生产管理的理论及方法，结合具体的生产技术</w:t>
            </w:r>
            <w:r>
              <w:rPr>
                <w:rFonts w:hint="eastAsia" w:ascii="宋体" w:hAnsi="宋体"/>
                <w:kern w:val="0"/>
                <w:sz w:val="21"/>
                <w:szCs w:val="21"/>
              </w:rPr>
              <w:t>，</w:t>
            </w:r>
            <w:r>
              <w:rPr>
                <w:rFonts w:ascii="宋体" w:hAnsi="宋体"/>
                <w:kern w:val="0"/>
                <w:sz w:val="21"/>
                <w:szCs w:val="21"/>
              </w:rPr>
              <w:t>运用安全评价理论与技术、安全检测技术进行安全评价、监测与监督、预防控制与技术管理</w:t>
            </w:r>
            <w:r>
              <w:rPr>
                <w:rFonts w:hint="eastAsia" w:ascii="宋体" w:hAnsi="宋体"/>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82" w:hRule="atLeast"/>
        </w:trPr>
        <w:tc>
          <w:tcPr>
            <w:tcW w:w="993" w:type="dxa"/>
            <w:vMerge w:val="restart"/>
            <w:vAlign w:val="center"/>
          </w:tcPr>
          <w:p>
            <w:pPr>
              <w:spacing w:line="240" w:lineRule="auto"/>
              <w:ind w:firstLine="0" w:firstLineChars="0"/>
              <w:rPr>
                <w:rFonts w:ascii="Calibri" w:hAnsi="Calibri"/>
                <w:b/>
              </w:rPr>
            </w:pPr>
            <w:r>
              <w:rPr>
                <w:rFonts w:hint="eastAsia" w:ascii="Calibri" w:hAnsi="Calibri"/>
                <w:b/>
              </w:rPr>
              <w:t>三、培养规格</w:t>
            </w:r>
          </w:p>
        </w:tc>
        <w:tc>
          <w:tcPr>
            <w:tcW w:w="1733" w:type="dxa"/>
            <w:gridSpan w:val="2"/>
            <w:vAlign w:val="center"/>
          </w:tcPr>
          <w:p>
            <w:pPr>
              <w:spacing w:line="240" w:lineRule="auto"/>
              <w:ind w:firstLine="0" w:firstLineChars="0"/>
              <w:jc w:val="left"/>
            </w:pPr>
            <w:r>
              <w:t>3.1层次</w:t>
            </w:r>
          </w:p>
        </w:tc>
        <w:tc>
          <w:tcPr>
            <w:tcW w:w="6645" w:type="dxa"/>
            <w:gridSpan w:val="2"/>
            <w:vAlign w:val="center"/>
          </w:tcPr>
          <w:p>
            <w:pPr>
              <w:ind w:firstLine="420"/>
              <w:rPr>
                <w:rFonts w:ascii="宋体" w:hAnsi="宋体"/>
                <w:sz w:val="21"/>
                <w:szCs w:val="21"/>
                <w:highlight w:val="yellow"/>
              </w:rPr>
            </w:pPr>
            <w:r>
              <w:rPr>
                <w:rFonts w:ascii="宋体" w:hAnsi="宋体"/>
                <w:kern w:val="0"/>
                <w:sz w:val="21"/>
                <w:szCs w:val="21"/>
              </w:rPr>
              <w:t>专科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44" w:hRule="atLeast"/>
        </w:trPr>
        <w:tc>
          <w:tcPr>
            <w:tcW w:w="993" w:type="dxa"/>
            <w:vMerge w:val="continue"/>
            <w:vAlign w:val="center"/>
          </w:tcPr>
          <w:p>
            <w:pPr>
              <w:spacing w:line="280" w:lineRule="exact"/>
              <w:ind w:firstLine="0" w:firstLineChars="0"/>
              <w:rPr>
                <w:rFonts w:ascii="Calibri" w:hAnsi="Calibri"/>
                <w:b/>
              </w:rPr>
            </w:pPr>
          </w:p>
        </w:tc>
        <w:tc>
          <w:tcPr>
            <w:tcW w:w="1733" w:type="dxa"/>
            <w:gridSpan w:val="2"/>
            <w:vAlign w:val="center"/>
          </w:tcPr>
          <w:p>
            <w:pPr>
              <w:spacing w:line="240" w:lineRule="auto"/>
              <w:ind w:firstLine="0" w:firstLineChars="0"/>
              <w:jc w:val="left"/>
            </w:pPr>
            <w:r>
              <w:t>3.2学制</w:t>
            </w:r>
          </w:p>
        </w:tc>
        <w:tc>
          <w:tcPr>
            <w:tcW w:w="6645" w:type="dxa"/>
            <w:gridSpan w:val="2"/>
            <w:vAlign w:val="center"/>
          </w:tcPr>
          <w:p>
            <w:pPr>
              <w:ind w:firstLine="420"/>
              <w:rPr>
                <w:rFonts w:ascii="宋体" w:hAnsi="宋体"/>
                <w:sz w:val="21"/>
                <w:szCs w:val="21"/>
              </w:rPr>
            </w:pPr>
            <w:r>
              <w:rPr>
                <w:rFonts w:hint="eastAsia" w:ascii="宋体" w:hAnsi="宋体"/>
                <w:kern w:val="0"/>
                <w:sz w:val="21"/>
                <w:szCs w:val="21"/>
              </w:rPr>
              <w:t>两年制三年业余学习，最短学习年限不低于两年半。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44" w:hRule="atLeast"/>
        </w:trPr>
        <w:tc>
          <w:tcPr>
            <w:tcW w:w="993" w:type="dxa"/>
            <w:vMerge w:val="continue"/>
            <w:vAlign w:val="center"/>
          </w:tcPr>
          <w:p>
            <w:pPr>
              <w:spacing w:line="280" w:lineRule="exact"/>
              <w:ind w:firstLine="0" w:firstLineChars="0"/>
              <w:rPr>
                <w:rFonts w:ascii="Calibri" w:hAnsi="Calibri"/>
                <w:b/>
              </w:rPr>
            </w:pPr>
          </w:p>
        </w:tc>
        <w:tc>
          <w:tcPr>
            <w:tcW w:w="1733" w:type="dxa"/>
            <w:gridSpan w:val="2"/>
            <w:vAlign w:val="center"/>
          </w:tcPr>
          <w:p>
            <w:pPr>
              <w:spacing w:line="240" w:lineRule="auto"/>
              <w:ind w:firstLine="0" w:firstLineChars="0"/>
              <w:jc w:val="left"/>
            </w:pPr>
            <w:r>
              <w:t>3.3学分</w:t>
            </w:r>
          </w:p>
        </w:tc>
        <w:tc>
          <w:tcPr>
            <w:tcW w:w="6645" w:type="dxa"/>
            <w:gridSpan w:val="2"/>
            <w:vAlign w:val="center"/>
          </w:tcPr>
          <w:p>
            <w:pPr>
              <w:ind w:firstLine="420"/>
              <w:rPr>
                <w:rFonts w:ascii="宋体" w:hAnsi="宋体"/>
                <w:kern w:val="0"/>
                <w:sz w:val="21"/>
                <w:szCs w:val="21"/>
              </w:rPr>
            </w:pPr>
            <w:r>
              <w:rPr>
                <w:rFonts w:ascii="宋体" w:hAnsi="宋体"/>
                <w:kern w:val="0"/>
                <w:sz w:val="21"/>
                <w:szCs w:val="21"/>
              </w:rPr>
              <w:t>最低毕业学分76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729" w:hRule="atLeast"/>
        </w:trPr>
        <w:tc>
          <w:tcPr>
            <w:tcW w:w="993" w:type="dxa"/>
            <w:vMerge w:val="restart"/>
            <w:vAlign w:val="center"/>
          </w:tcPr>
          <w:p>
            <w:pPr>
              <w:spacing w:line="240" w:lineRule="auto"/>
              <w:ind w:firstLine="0" w:firstLineChars="0"/>
              <w:rPr>
                <w:b/>
              </w:rPr>
            </w:pPr>
            <w:r>
              <w:rPr>
                <w:b/>
              </w:rPr>
              <w:t>四、就业面向和职业生涯发</w:t>
            </w:r>
          </w:p>
          <w:p>
            <w:pPr>
              <w:spacing w:line="240" w:lineRule="auto"/>
              <w:ind w:firstLine="0" w:firstLineChars="0"/>
              <w:rPr>
                <w:b/>
              </w:rPr>
            </w:pPr>
            <w:r>
              <w:rPr>
                <w:b/>
              </w:rPr>
              <w:t>展</w:t>
            </w:r>
          </w:p>
        </w:tc>
        <w:tc>
          <w:tcPr>
            <w:tcW w:w="1733" w:type="dxa"/>
            <w:gridSpan w:val="2"/>
            <w:vAlign w:val="center"/>
          </w:tcPr>
          <w:p>
            <w:pPr>
              <w:spacing w:line="240" w:lineRule="auto"/>
              <w:ind w:firstLine="0" w:firstLineChars="0"/>
            </w:pPr>
            <w:r>
              <w:t>4.1就业面向</w:t>
            </w:r>
          </w:p>
        </w:tc>
        <w:tc>
          <w:tcPr>
            <w:tcW w:w="6645" w:type="dxa"/>
            <w:gridSpan w:val="2"/>
            <w:vAlign w:val="center"/>
          </w:tcPr>
          <w:p>
            <w:pPr>
              <w:spacing w:beforeLines="50" w:line="384" w:lineRule="auto"/>
              <w:ind w:firstLine="420"/>
              <w:rPr>
                <w:rFonts w:ascii="宋体" w:hAnsi="宋体"/>
                <w:kern w:val="0"/>
                <w:sz w:val="21"/>
                <w:szCs w:val="21"/>
              </w:rPr>
            </w:pPr>
            <w:r>
              <w:rPr>
                <w:rFonts w:ascii="宋体" w:hAnsi="宋体"/>
                <w:kern w:val="0"/>
                <w:sz w:val="21"/>
                <w:szCs w:val="21"/>
              </w:rPr>
              <w:t>行业领域：</w:t>
            </w:r>
            <w:r>
              <w:rPr>
                <w:rFonts w:hint="eastAsia" w:ascii="宋体" w:hAnsi="宋体"/>
                <w:kern w:val="0"/>
                <w:sz w:val="21"/>
                <w:szCs w:val="21"/>
              </w:rPr>
              <w:t>各</w:t>
            </w:r>
            <w:r>
              <w:rPr>
                <w:rFonts w:ascii="宋体" w:hAnsi="宋体"/>
                <w:kern w:val="0"/>
                <w:sz w:val="21"/>
                <w:szCs w:val="21"/>
              </w:rPr>
              <w:t>企事业单位</w:t>
            </w:r>
          </w:p>
          <w:p>
            <w:pPr>
              <w:spacing w:line="384" w:lineRule="auto"/>
              <w:ind w:firstLine="420"/>
              <w:rPr>
                <w:rFonts w:ascii="宋体" w:hAnsi="宋体"/>
                <w:kern w:val="0"/>
                <w:sz w:val="21"/>
                <w:szCs w:val="21"/>
              </w:rPr>
            </w:pPr>
            <w:r>
              <w:rPr>
                <w:rFonts w:ascii="宋体" w:hAnsi="宋体"/>
                <w:kern w:val="0"/>
                <w:sz w:val="21"/>
                <w:szCs w:val="21"/>
              </w:rPr>
              <w:t>职业：</w:t>
            </w:r>
            <w:r>
              <w:rPr>
                <w:rFonts w:hint="eastAsia" w:ascii="宋体" w:hAnsi="宋体"/>
                <w:kern w:val="0"/>
                <w:sz w:val="21"/>
                <w:szCs w:val="21"/>
              </w:rPr>
              <w:t>安全</w:t>
            </w:r>
            <w:r>
              <w:rPr>
                <w:rFonts w:ascii="宋体" w:hAnsi="宋体"/>
                <w:kern w:val="0"/>
                <w:sz w:val="21"/>
                <w:szCs w:val="21"/>
              </w:rPr>
              <w:t>监察员、</w:t>
            </w:r>
            <w:r>
              <w:rPr>
                <w:rFonts w:hint="eastAsia" w:ascii="宋体" w:hAnsi="宋体"/>
                <w:kern w:val="0"/>
                <w:sz w:val="21"/>
                <w:szCs w:val="21"/>
              </w:rPr>
              <w:t>安全</w:t>
            </w:r>
            <w:r>
              <w:rPr>
                <w:rFonts w:ascii="宋体" w:hAnsi="宋体"/>
                <w:kern w:val="0"/>
                <w:sz w:val="21"/>
                <w:szCs w:val="21"/>
              </w:rPr>
              <w:t>技术员、安全评价员、职业</w:t>
            </w:r>
            <w:r>
              <w:rPr>
                <w:rFonts w:hint="eastAsia" w:ascii="宋体" w:hAnsi="宋体"/>
                <w:kern w:val="0"/>
                <w:sz w:val="21"/>
                <w:szCs w:val="21"/>
              </w:rPr>
              <w:t>健康</w:t>
            </w:r>
            <w:r>
              <w:rPr>
                <w:rFonts w:ascii="宋体" w:hAnsi="宋体"/>
                <w:kern w:val="0"/>
                <w:sz w:val="21"/>
                <w:szCs w:val="21"/>
              </w:rPr>
              <w:t>安全体系</w:t>
            </w:r>
            <w:r>
              <w:rPr>
                <w:rFonts w:hint="eastAsia" w:ascii="宋体" w:hAnsi="宋体"/>
                <w:kern w:val="0"/>
                <w:sz w:val="21"/>
                <w:szCs w:val="21"/>
              </w:rPr>
              <w:t>内人员</w:t>
            </w:r>
            <w:r>
              <w:rPr>
                <w:rFonts w:ascii="宋体" w:hAnsi="宋体"/>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01" w:hRule="atLeast"/>
        </w:trPr>
        <w:tc>
          <w:tcPr>
            <w:tcW w:w="993" w:type="dxa"/>
            <w:vMerge w:val="continue"/>
            <w:vAlign w:val="center"/>
          </w:tcPr>
          <w:p>
            <w:pPr>
              <w:spacing w:line="280" w:lineRule="exact"/>
              <w:ind w:firstLine="0" w:firstLineChars="0"/>
            </w:pPr>
          </w:p>
        </w:tc>
        <w:tc>
          <w:tcPr>
            <w:tcW w:w="1733" w:type="dxa"/>
            <w:gridSpan w:val="2"/>
            <w:vAlign w:val="center"/>
          </w:tcPr>
          <w:p>
            <w:pPr>
              <w:spacing w:line="240" w:lineRule="auto"/>
              <w:ind w:firstLine="0" w:firstLineChars="0"/>
            </w:pPr>
            <w:r>
              <w:t>4.2 职业生涯发展</w:t>
            </w:r>
          </w:p>
        </w:tc>
        <w:tc>
          <w:tcPr>
            <w:tcW w:w="6645" w:type="dxa"/>
            <w:gridSpan w:val="2"/>
            <w:vAlign w:val="center"/>
          </w:tcPr>
          <w:p>
            <w:pPr>
              <w:ind w:firstLine="420"/>
              <w:rPr>
                <w:rFonts w:ascii="宋体" w:hAnsi="宋体"/>
                <w:kern w:val="0"/>
                <w:sz w:val="21"/>
                <w:szCs w:val="21"/>
              </w:rPr>
            </w:pPr>
            <w:r>
              <w:rPr>
                <w:rFonts w:ascii="宋体" w:hAnsi="宋体"/>
                <w:kern w:val="0"/>
                <w:sz w:val="21"/>
                <w:szCs w:val="21"/>
              </w:rPr>
              <w:t>1. 职业等级提升</w:t>
            </w:r>
          </w:p>
          <w:p>
            <w:pPr>
              <w:ind w:firstLine="420"/>
              <w:rPr>
                <w:rFonts w:ascii="宋体" w:hAnsi="宋体"/>
                <w:kern w:val="0"/>
                <w:sz w:val="21"/>
                <w:szCs w:val="21"/>
              </w:rPr>
            </w:pPr>
            <w:r>
              <w:rPr>
                <w:rFonts w:ascii="宋体" w:hAnsi="宋体"/>
                <w:kern w:val="0"/>
                <w:sz w:val="21"/>
                <w:szCs w:val="21"/>
              </w:rPr>
              <w:t>本专业毕业的学生，通过进一步学习深造，</w:t>
            </w:r>
            <w:r>
              <w:rPr>
                <w:rFonts w:hint="eastAsia" w:ascii="宋体" w:hAnsi="宋体"/>
                <w:kern w:val="0"/>
                <w:sz w:val="21"/>
                <w:szCs w:val="21"/>
              </w:rPr>
              <w:t>可以参加</w:t>
            </w:r>
            <w:r>
              <w:fldChar w:fldCharType="begin"/>
            </w:r>
            <w:r>
              <w:instrText xml:space="preserve"> HYPERLINK "http://baike.baidu.com/view/2318724.htm" </w:instrText>
            </w:r>
            <w:r>
              <w:fldChar w:fldCharType="separate"/>
            </w:r>
            <w:r>
              <w:rPr>
                <w:rFonts w:ascii="宋体" w:hAnsi="宋体"/>
                <w:kern w:val="0"/>
                <w:sz w:val="21"/>
                <w:szCs w:val="21"/>
              </w:rPr>
              <w:t>注册助理安全工程师</w:t>
            </w:r>
            <w:r>
              <w:rPr>
                <w:rFonts w:ascii="宋体" w:hAnsi="宋体"/>
                <w:kern w:val="0"/>
                <w:sz w:val="21"/>
                <w:szCs w:val="21"/>
              </w:rPr>
              <w:fldChar w:fldCharType="end"/>
            </w:r>
            <w:r>
              <w:rPr>
                <w:rFonts w:hint="eastAsia" w:ascii="宋体" w:hAnsi="宋体"/>
                <w:kern w:val="0"/>
                <w:sz w:val="21"/>
                <w:szCs w:val="21"/>
              </w:rPr>
              <w:t>、</w:t>
            </w:r>
            <w:r>
              <w:fldChar w:fldCharType="begin"/>
            </w:r>
            <w:r>
              <w:instrText xml:space="preserve"> HYPERLINK "http://baike.baidu.com/view/274896.htm" </w:instrText>
            </w:r>
            <w:r>
              <w:fldChar w:fldCharType="separate"/>
            </w:r>
            <w:r>
              <w:rPr>
                <w:rFonts w:ascii="宋体" w:hAnsi="宋体"/>
                <w:kern w:val="0"/>
                <w:sz w:val="21"/>
                <w:szCs w:val="21"/>
              </w:rPr>
              <w:t>注册安全工程师</w:t>
            </w:r>
            <w:r>
              <w:rPr>
                <w:rFonts w:ascii="宋体" w:hAnsi="宋体"/>
                <w:kern w:val="0"/>
                <w:sz w:val="21"/>
                <w:szCs w:val="21"/>
              </w:rPr>
              <w:fldChar w:fldCharType="end"/>
            </w:r>
            <w:r>
              <w:rPr>
                <w:rFonts w:hint="eastAsia" w:ascii="宋体" w:hAnsi="宋体"/>
                <w:kern w:val="0"/>
                <w:sz w:val="21"/>
                <w:szCs w:val="21"/>
              </w:rPr>
              <w:t>、</w:t>
            </w:r>
            <w:r>
              <w:rPr>
                <w:rFonts w:ascii="宋体" w:hAnsi="宋体"/>
                <w:kern w:val="0"/>
                <w:sz w:val="21"/>
                <w:szCs w:val="21"/>
              </w:rPr>
              <w:t>注册</w:t>
            </w:r>
            <w:r>
              <w:fldChar w:fldCharType="begin"/>
            </w:r>
            <w:r>
              <w:instrText xml:space="preserve"> HYPERLINK "http://baike.baidu.com/view/1333791.htm" </w:instrText>
            </w:r>
            <w:r>
              <w:fldChar w:fldCharType="separate"/>
            </w:r>
            <w:r>
              <w:rPr>
                <w:rFonts w:ascii="宋体" w:hAnsi="宋体"/>
                <w:kern w:val="0"/>
                <w:sz w:val="21"/>
                <w:szCs w:val="21"/>
              </w:rPr>
              <w:t>安全评价师</w:t>
            </w:r>
            <w:r>
              <w:rPr>
                <w:rFonts w:ascii="宋体" w:hAnsi="宋体"/>
                <w:kern w:val="0"/>
                <w:sz w:val="21"/>
                <w:szCs w:val="21"/>
              </w:rPr>
              <w:fldChar w:fldCharType="end"/>
            </w:r>
            <w:r>
              <w:rPr>
                <w:rFonts w:hint="eastAsia" w:ascii="宋体" w:hAnsi="宋体"/>
                <w:kern w:val="0"/>
                <w:sz w:val="21"/>
                <w:szCs w:val="21"/>
              </w:rPr>
              <w:t>、</w:t>
            </w:r>
            <w:r>
              <w:rPr>
                <w:rFonts w:ascii="宋体" w:hAnsi="宋体"/>
                <w:kern w:val="0"/>
                <w:sz w:val="21"/>
                <w:szCs w:val="21"/>
              </w:rPr>
              <w:t>注册</w:t>
            </w:r>
            <w:r>
              <w:rPr>
                <w:rFonts w:hint="eastAsia" w:ascii="宋体" w:hAnsi="宋体"/>
                <w:kern w:val="0"/>
                <w:sz w:val="21"/>
                <w:szCs w:val="21"/>
              </w:rPr>
              <w:t>消防工</w:t>
            </w:r>
            <w:r>
              <w:rPr>
                <w:rFonts w:ascii="宋体" w:hAnsi="宋体"/>
                <w:kern w:val="0"/>
                <w:sz w:val="21"/>
                <w:szCs w:val="21"/>
              </w:rPr>
              <w:t>程师</w:t>
            </w:r>
            <w:r>
              <w:rPr>
                <w:rFonts w:hint="eastAsia" w:ascii="宋体" w:hAnsi="宋体"/>
                <w:kern w:val="0"/>
                <w:sz w:val="21"/>
                <w:szCs w:val="21"/>
              </w:rPr>
              <w:t>等资格证书考试</w:t>
            </w:r>
            <w:r>
              <w:rPr>
                <w:rFonts w:ascii="宋体" w:hAnsi="宋体"/>
                <w:kern w:val="0"/>
                <w:sz w:val="21"/>
                <w:szCs w:val="21"/>
              </w:rPr>
              <w:t>。</w:t>
            </w:r>
          </w:p>
          <w:p>
            <w:pPr>
              <w:ind w:firstLine="420"/>
              <w:rPr>
                <w:rFonts w:ascii="宋体" w:hAnsi="宋体"/>
                <w:kern w:val="0"/>
                <w:sz w:val="21"/>
                <w:szCs w:val="21"/>
              </w:rPr>
            </w:pPr>
            <w:r>
              <w:rPr>
                <w:rFonts w:ascii="宋体" w:hAnsi="宋体"/>
                <w:kern w:val="0"/>
                <w:sz w:val="21"/>
                <w:szCs w:val="21"/>
              </w:rPr>
              <w:t>2. 职业岗位发展</w:t>
            </w:r>
          </w:p>
          <w:p>
            <w:pPr>
              <w:ind w:firstLine="420"/>
              <w:rPr>
                <w:rFonts w:ascii="宋体" w:hAnsi="宋体"/>
                <w:kern w:val="0"/>
                <w:sz w:val="21"/>
                <w:szCs w:val="21"/>
              </w:rPr>
            </w:pPr>
            <w:r>
              <w:rPr>
                <w:rFonts w:ascii="宋体" w:hAnsi="宋体"/>
                <w:kern w:val="0"/>
                <w:sz w:val="21"/>
                <w:szCs w:val="21"/>
              </w:rPr>
              <w:t>本专业毕业</w:t>
            </w:r>
            <w:r>
              <w:rPr>
                <w:rFonts w:hint="eastAsia" w:ascii="宋体" w:hAnsi="宋体"/>
                <w:kern w:val="0"/>
                <w:sz w:val="21"/>
                <w:szCs w:val="21"/>
              </w:rPr>
              <w:t>的</w:t>
            </w:r>
            <w:r>
              <w:rPr>
                <w:rFonts w:ascii="宋体" w:hAnsi="宋体"/>
                <w:kern w:val="0"/>
                <w:sz w:val="21"/>
                <w:szCs w:val="21"/>
              </w:rPr>
              <w:t>学生，</w:t>
            </w:r>
            <w:r>
              <w:rPr>
                <w:rFonts w:hint="eastAsia" w:ascii="宋体" w:hAnsi="宋体"/>
                <w:kern w:val="0"/>
                <w:sz w:val="21"/>
                <w:szCs w:val="21"/>
              </w:rPr>
              <w:t>通过能力的提升和工作经验的积累</w:t>
            </w:r>
            <w:r>
              <w:rPr>
                <w:rFonts w:ascii="宋体" w:hAnsi="宋体"/>
                <w:kern w:val="0"/>
                <w:sz w:val="21"/>
                <w:szCs w:val="21"/>
              </w:rPr>
              <w:t>，可以从事一般企业安全管理员、安全评价员、公路施工企业安全管理员、交通运输企业安全管理员、风险评估员、建筑消防安全管理员</w:t>
            </w:r>
            <w:r>
              <w:rPr>
                <w:rFonts w:hint="eastAsia" w:ascii="宋体" w:hAnsi="宋体"/>
                <w:kern w:val="0"/>
                <w:sz w:val="21"/>
                <w:szCs w:val="21"/>
              </w:rPr>
              <w:t>等工作</w:t>
            </w:r>
            <w:r>
              <w:rPr>
                <w:rFonts w:ascii="宋体" w:hAnsi="宋体"/>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86" w:hRule="atLeast"/>
        </w:trPr>
        <w:tc>
          <w:tcPr>
            <w:tcW w:w="993" w:type="dxa"/>
            <w:vMerge w:val="restart"/>
            <w:vAlign w:val="center"/>
          </w:tcPr>
          <w:p>
            <w:pPr>
              <w:ind w:firstLine="0" w:firstLineChars="0"/>
              <w:rPr>
                <w:b/>
              </w:rPr>
            </w:pPr>
            <w:r>
              <w:rPr>
                <w:b/>
              </w:rPr>
              <w:t>五、知识、能力结构及其支撑课程（活动）</w:t>
            </w:r>
          </w:p>
        </w:tc>
        <w:tc>
          <w:tcPr>
            <w:tcW w:w="1733" w:type="dxa"/>
            <w:gridSpan w:val="2"/>
            <w:tcBorders>
              <w:bottom w:val="single" w:color="auto" w:sz="8" w:space="0"/>
            </w:tcBorders>
            <w:vAlign w:val="center"/>
          </w:tcPr>
          <w:p>
            <w:pPr>
              <w:spacing w:line="240" w:lineRule="auto"/>
              <w:ind w:firstLine="0" w:firstLineChars="0"/>
              <w:jc w:val="center"/>
              <w:rPr>
                <w:b/>
              </w:rPr>
            </w:pPr>
            <w:r>
              <w:rPr>
                <w:b/>
              </w:rPr>
              <w:t>类型</w:t>
            </w:r>
          </w:p>
        </w:tc>
        <w:tc>
          <w:tcPr>
            <w:tcW w:w="5794" w:type="dxa"/>
            <w:vAlign w:val="center"/>
          </w:tcPr>
          <w:p>
            <w:pPr>
              <w:ind w:firstLine="0" w:firstLineChars="0"/>
              <w:jc w:val="center"/>
              <w:rPr>
                <w:b/>
              </w:rPr>
            </w:pPr>
            <w:r>
              <w:rPr>
                <w:b/>
              </w:rPr>
              <w:t>内容描述</w:t>
            </w:r>
          </w:p>
        </w:tc>
        <w:tc>
          <w:tcPr>
            <w:tcW w:w="851" w:type="dxa"/>
            <w:vAlign w:val="center"/>
          </w:tcPr>
          <w:p>
            <w:pPr>
              <w:spacing w:line="240" w:lineRule="auto"/>
              <w:ind w:firstLine="0" w:firstLineChars="0"/>
              <w:jc w:val="left"/>
              <w:rPr>
                <w:b/>
              </w:rPr>
            </w:pPr>
            <w:r>
              <w:rPr>
                <w:b/>
              </w:rPr>
              <w:t>支撑课程或活动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993" w:type="dxa"/>
            <w:vMerge w:val="continue"/>
            <w:vAlign w:val="center"/>
          </w:tcPr>
          <w:p>
            <w:pPr>
              <w:ind w:firstLine="0" w:firstLineChars="0"/>
            </w:pPr>
          </w:p>
        </w:tc>
        <w:tc>
          <w:tcPr>
            <w:tcW w:w="1733" w:type="dxa"/>
            <w:gridSpan w:val="2"/>
            <w:vMerge w:val="restart"/>
            <w:tcBorders>
              <w:top w:val="single" w:color="auto" w:sz="8" w:space="0"/>
              <w:bottom w:val="single" w:color="auto" w:sz="12" w:space="0"/>
            </w:tcBorders>
            <w:vAlign w:val="center"/>
          </w:tcPr>
          <w:p>
            <w:pPr>
              <w:spacing w:line="240" w:lineRule="auto"/>
              <w:ind w:firstLine="0" w:firstLineChars="0"/>
            </w:pPr>
            <w:r>
              <w:t>5.1</w:t>
            </w:r>
            <w:r>
              <w:rPr>
                <w:rFonts w:hint="eastAsia"/>
              </w:rPr>
              <w:t>公共</w:t>
            </w:r>
            <w:r>
              <w:t>基础</w:t>
            </w:r>
            <w:r>
              <w:rPr>
                <w:rFonts w:hint="eastAsia"/>
              </w:rPr>
              <w:t>课</w:t>
            </w:r>
          </w:p>
        </w:tc>
        <w:tc>
          <w:tcPr>
            <w:tcW w:w="5794" w:type="dxa"/>
            <w:tcBorders>
              <w:bottom w:val="single" w:color="auto" w:sz="8" w:space="0"/>
            </w:tcBorders>
            <w:vAlign w:val="center"/>
          </w:tcPr>
          <w:p>
            <w:pPr>
              <w:ind w:firstLine="420"/>
              <w:rPr>
                <w:rFonts w:ascii="宋体" w:hAnsi="宋体"/>
                <w:kern w:val="0"/>
                <w:sz w:val="21"/>
                <w:szCs w:val="21"/>
              </w:rPr>
            </w:pPr>
            <w:r>
              <w:rPr>
                <w:rFonts w:ascii="宋体" w:hAnsi="宋体"/>
                <w:kern w:val="0"/>
                <w:sz w:val="21"/>
                <w:szCs w:val="21"/>
              </w:rPr>
              <w:t xml:space="preserve">1. </w:t>
            </w:r>
            <w:r>
              <w:rPr>
                <w:rFonts w:hint="eastAsia" w:ascii="宋体" w:hAnsi="宋体"/>
                <w:kern w:val="0"/>
                <w:sz w:val="21"/>
                <w:szCs w:val="21"/>
              </w:rPr>
              <w:t>“中</w:t>
            </w:r>
            <w:r>
              <w:rPr>
                <w:rFonts w:ascii="宋体" w:hAnsi="宋体"/>
                <w:kern w:val="0"/>
                <w:sz w:val="21"/>
                <w:szCs w:val="21"/>
              </w:rPr>
              <w:t>国特色</w:t>
            </w:r>
            <w:r>
              <w:rPr>
                <w:rFonts w:hint="eastAsia" w:ascii="宋体" w:hAnsi="宋体"/>
                <w:kern w:val="0"/>
                <w:sz w:val="21"/>
                <w:szCs w:val="21"/>
              </w:rPr>
              <w:t>社会主</w:t>
            </w:r>
            <w:r>
              <w:rPr>
                <w:rFonts w:ascii="宋体" w:hAnsi="宋体"/>
                <w:kern w:val="0"/>
                <w:sz w:val="21"/>
                <w:szCs w:val="21"/>
              </w:rPr>
              <w:t>义理论</w:t>
            </w:r>
            <w:r>
              <w:rPr>
                <w:rFonts w:hint="eastAsia" w:ascii="宋体" w:hAnsi="宋体"/>
                <w:kern w:val="0"/>
                <w:sz w:val="21"/>
                <w:szCs w:val="21"/>
              </w:rPr>
              <w:t>体系</w:t>
            </w:r>
            <w:r>
              <w:rPr>
                <w:rFonts w:ascii="宋体" w:hAnsi="宋体"/>
                <w:kern w:val="0"/>
                <w:sz w:val="21"/>
                <w:szCs w:val="21"/>
              </w:rPr>
              <w:t>概论”</w:t>
            </w:r>
            <w:r>
              <w:rPr>
                <w:rFonts w:hint="eastAsia" w:ascii="宋体" w:hAnsi="宋体"/>
                <w:kern w:val="0"/>
                <w:sz w:val="21"/>
                <w:szCs w:val="21"/>
              </w:rPr>
              <w:t>是</w:t>
            </w:r>
            <w:r>
              <w:rPr>
                <w:rFonts w:ascii="宋体" w:hAnsi="宋体"/>
                <w:kern w:val="0"/>
                <w:sz w:val="21"/>
                <w:szCs w:val="21"/>
              </w:rPr>
              <w:t>根</w:t>
            </w:r>
            <w:r>
              <w:rPr>
                <w:rFonts w:hint="eastAsia" w:ascii="宋体" w:hAnsi="宋体"/>
                <w:kern w:val="0"/>
                <w:sz w:val="21"/>
                <w:szCs w:val="21"/>
              </w:rPr>
              <w:t>据我国改革开放以来，中国共产党历次代表大会，特别是十八大报告精神，为培养学生掌握中国特色社会主义理论体系的主要内容和精神实质而开设的公共必修思想政治理论课。</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中</w:t>
            </w:r>
            <w:r>
              <w:rPr>
                <w:rFonts w:ascii="宋体" w:hAnsi="宋体"/>
                <w:sz w:val="21"/>
                <w:szCs w:val="21"/>
              </w:rPr>
              <w:t>国特色</w:t>
            </w:r>
            <w:r>
              <w:rPr>
                <w:rFonts w:hint="eastAsia" w:ascii="宋体" w:hAnsi="宋体"/>
                <w:sz w:val="21"/>
                <w:szCs w:val="21"/>
              </w:rPr>
              <w:t>社会主</w:t>
            </w:r>
            <w:r>
              <w:rPr>
                <w:rFonts w:ascii="宋体" w:hAnsi="宋体"/>
                <w:sz w:val="21"/>
                <w:szCs w:val="21"/>
              </w:rPr>
              <w:t>义理论体系概论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993" w:type="dxa"/>
            <w:vMerge w:val="continue"/>
            <w:vAlign w:val="center"/>
          </w:tcPr>
          <w:p>
            <w:pPr>
              <w:ind w:firstLine="0" w:firstLineChars="0"/>
            </w:pPr>
          </w:p>
        </w:tc>
        <w:tc>
          <w:tcPr>
            <w:tcW w:w="1733" w:type="dxa"/>
            <w:gridSpan w:val="2"/>
            <w:vMerge w:val="continue"/>
            <w:tcBorders>
              <w:top w:val="single" w:color="auto" w:sz="8" w:space="0"/>
              <w:bottom w:val="single" w:color="auto" w:sz="12" w:space="0"/>
            </w:tcBorders>
            <w:vAlign w:val="center"/>
          </w:tcPr>
          <w:p>
            <w:pPr>
              <w:ind w:firstLine="0" w:firstLineChars="0"/>
            </w:pPr>
          </w:p>
        </w:tc>
        <w:tc>
          <w:tcPr>
            <w:tcW w:w="5794" w:type="dxa"/>
            <w:tcBorders>
              <w:top w:val="single" w:color="auto" w:sz="8" w:space="0"/>
              <w:bottom w:val="single" w:color="auto" w:sz="12" w:space="0"/>
            </w:tcBorders>
            <w:vAlign w:val="center"/>
          </w:tcPr>
          <w:p>
            <w:pPr>
              <w:ind w:firstLine="420"/>
              <w:rPr>
                <w:rFonts w:ascii="宋体" w:hAnsi="宋体"/>
                <w:kern w:val="0"/>
                <w:sz w:val="21"/>
                <w:szCs w:val="21"/>
              </w:rPr>
            </w:pPr>
            <w:r>
              <w:rPr>
                <w:rFonts w:ascii="宋体" w:hAnsi="宋体"/>
                <w:kern w:val="0"/>
                <w:sz w:val="21"/>
                <w:szCs w:val="21"/>
              </w:rPr>
              <w:t xml:space="preserve">2. </w:t>
            </w:r>
            <w:r>
              <w:rPr>
                <w:rFonts w:hint="eastAsia" w:ascii="宋体" w:hAnsi="宋体"/>
                <w:kern w:val="0"/>
                <w:sz w:val="21"/>
                <w:szCs w:val="21"/>
              </w:rPr>
              <w:t>以完成学习任务的过程为导向，从学习者如何完成国家开放大学规定的专业学习任务的角度，让学习者学会如何完成课程、专业的学习，同时描述国家开放大学基本的学习方式，说明国家开放大学的学习环境，解释国家开放大学学习平台上基本术语的涵义，使学生能使用学习平台的基本工具辅助完成学习活动，并且了解国家开放大学学生相关事务与管理规定。使学生初步具备利用现代远程技术在国家开放大学进行学习的能力。</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国家</w:t>
            </w:r>
            <w:r>
              <w:rPr>
                <w:rFonts w:ascii="宋体" w:hAnsi="宋体"/>
                <w:sz w:val="21"/>
                <w:szCs w:val="21"/>
              </w:rPr>
              <w:t>开放大学学习指南</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91" w:hRule="atLeast"/>
        </w:trPr>
        <w:tc>
          <w:tcPr>
            <w:tcW w:w="993" w:type="dxa"/>
            <w:vMerge w:val="continue"/>
            <w:tcBorders>
              <w:top w:val="single" w:color="auto" w:sz="12" w:space="0"/>
            </w:tcBorders>
            <w:vAlign w:val="center"/>
          </w:tcPr>
          <w:p>
            <w:pPr>
              <w:ind w:firstLine="0" w:firstLineChars="0"/>
            </w:pPr>
          </w:p>
        </w:tc>
        <w:tc>
          <w:tcPr>
            <w:tcW w:w="1733" w:type="dxa"/>
            <w:gridSpan w:val="2"/>
            <w:vMerge w:val="continue"/>
            <w:tcBorders>
              <w:top w:val="single" w:color="auto" w:sz="12" w:space="0"/>
              <w:bottom w:val="single" w:color="auto" w:sz="12" w:space="0"/>
            </w:tcBorders>
            <w:vAlign w:val="center"/>
          </w:tcPr>
          <w:p>
            <w:pPr>
              <w:ind w:firstLine="0" w:firstLineChars="0"/>
            </w:pPr>
          </w:p>
        </w:tc>
        <w:tc>
          <w:tcPr>
            <w:tcW w:w="5794" w:type="dxa"/>
            <w:tcBorders>
              <w:top w:val="single" w:color="auto" w:sz="12" w:space="0"/>
            </w:tcBorders>
            <w:vAlign w:val="center"/>
          </w:tcPr>
          <w:p>
            <w:pPr>
              <w:ind w:firstLine="420"/>
              <w:rPr>
                <w:rFonts w:ascii="宋体" w:hAnsi="宋体"/>
                <w:kern w:val="0"/>
                <w:sz w:val="21"/>
                <w:szCs w:val="21"/>
              </w:rPr>
            </w:pPr>
            <w:r>
              <w:rPr>
                <w:rFonts w:ascii="宋体" w:hAnsi="宋体"/>
                <w:kern w:val="0"/>
                <w:sz w:val="21"/>
                <w:szCs w:val="21"/>
              </w:rPr>
              <w:t>3. 通过课程的学习，学生应能掌握1600左右的常用词汇（包括入学时要求掌握的600词）和若干相关的常用词组及基础语法知识；能够听懂发音清楚、语速较慢的教学用语和日常生活用语，并能用英语进行简单的日常交谈；能够读懂所学词汇和语法范围内的故事、短文及通知、便条等；能够写出简短的私人信函，或用便条转达具体信息。</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英语</w:t>
            </w:r>
            <w:r>
              <w:rPr>
                <w:rFonts w:hint="eastAsia" w:ascii="宋体" w:hAnsi="宋体" w:cs="宋体"/>
                <w:kern w:val="1"/>
                <w:sz w:val="21"/>
                <w:szCs w:val="21"/>
              </w:rPr>
              <w:t>Ⅰ（</w:t>
            </w:r>
            <w:r>
              <w:rPr>
                <w:rFonts w:ascii="宋体" w:hAnsi="宋体" w:cs="宋体"/>
                <w:kern w:val="1"/>
                <w:sz w:val="21"/>
                <w:szCs w:val="21"/>
              </w:rPr>
              <w:t>1</w:t>
            </w:r>
            <w:r>
              <w:rPr>
                <w:rFonts w:hint="eastAsia" w:ascii="宋体" w:hAnsi="宋体" w:cs="宋体"/>
                <w:kern w:val="1"/>
                <w:sz w:val="21"/>
                <w:szCs w:val="21"/>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993" w:type="dxa"/>
            <w:vMerge w:val="continue"/>
            <w:vAlign w:val="center"/>
          </w:tcPr>
          <w:p>
            <w:pPr>
              <w:ind w:firstLine="0" w:firstLineChars="0"/>
            </w:pPr>
          </w:p>
        </w:tc>
        <w:tc>
          <w:tcPr>
            <w:tcW w:w="1733" w:type="dxa"/>
            <w:gridSpan w:val="2"/>
            <w:vMerge w:val="continue"/>
            <w:tcBorders>
              <w:top w:val="single" w:color="auto" w:sz="8"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ascii="宋体" w:hAnsi="宋体"/>
                <w:kern w:val="0"/>
                <w:sz w:val="21"/>
                <w:szCs w:val="21"/>
              </w:rPr>
              <w:t xml:space="preserve">4. </w:t>
            </w:r>
            <w:r>
              <w:rPr>
                <w:rFonts w:hint="eastAsia" w:ascii="宋体" w:hAnsi="宋体"/>
                <w:kern w:val="0"/>
                <w:sz w:val="21"/>
                <w:szCs w:val="21"/>
              </w:rPr>
              <w:t>通过本</w:t>
            </w:r>
            <w:r>
              <w:rPr>
                <w:rFonts w:ascii="宋体" w:hAnsi="宋体"/>
                <w:kern w:val="0"/>
                <w:sz w:val="21"/>
                <w:szCs w:val="21"/>
              </w:rPr>
              <w:t>课程的</w:t>
            </w:r>
            <w:r>
              <w:rPr>
                <w:rFonts w:hint="eastAsia" w:ascii="宋体" w:hAnsi="宋体"/>
                <w:kern w:val="0"/>
                <w:sz w:val="21"/>
                <w:szCs w:val="21"/>
              </w:rPr>
              <w:t>学习</w:t>
            </w:r>
            <w:r>
              <w:rPr>
                <w:rFonts w:ascii="宋体" w:hAnsi="宋体"/>
                <w:kern w:val="0"/>
                <w:sz w:val="21"/>
                <w:szCs w:val="21"/>
              </w:rPr>
              <w:t>，</w:t>
            </w:r>
            <w:r>
              <w:rPr>
                <w:rFonts w:hint="eastAsia" w:ascii="宋体" w:hAnsi="宋体"/>
                <w:kern w:val="0"/>
                <w:sz w:val="21"/>
                <w:szCs w:val="21"/>
              </w:rPr>
              <w:t>使学生</w:t>
            </w:r>
            <w:r>
              <w:rPr>
                <w:rFonts w:ascii="宋体" w:hAnsi="宋体"/>
                <w:kern w:val="0"/>
                <w:sz w:val="21"/>
                <w:szCs w:val="21"/>
              </w:rPr>
              <w:t>了解函数、极限</w:t>
            </w:r>
            <w:r>
              <w:rPr>
                <w:rFonts w:hint="eastAsia" w:ascii="宋体" w:hAnsi="宋体"/>
                <w:kern w:val="0"/>
                <w:sz w:val="21"/>
                <w:szCs w:val="21"/>
              </w:rPr>
              <w:t>与</w:t>
            </w:r>
            <w:r>
              <w:rPr>
                <w:rFonts w:ascii="宋体" w:hAnsi="宋体"/>
                <w:kern w:val="0"/>
                <w:sz w:val="21"/>
                <w:szCs w:val="21"/>
              </w:rPr>
              <w:t>连续、</w:t>
            </w:r>
            <w:r>
              <w:rPr>
                <w:rFonts w:hint="eastAsia" w:ascii="宋体" w:hAnsi="宋体"/>
                <w:kern w:val="0"/>
                <w:sz w:val="21"/>
                <w:szCs w:val="21"/>
              </w:rPr>
              <w:t>导数</w:t>
            </w:r>
            <w:r>
              <w:rPr>
                <w:rFonts w:ascii="宋体" w:hAnsi="宋体"/>
                <w:kern w:val="0"/>
                <w:sz w:val="21"/>
                <w:szCs w:val="21"/>
              </w:rPr>
              <w:t>与微分、导数应用、不定积分和定积分</w:t>
            </w:r>
            <w:r>
              <w:rPr>
                <w:rFonts w:hint="eastAsia" w:ascii="宋体" w:hAnsi="宋体"/>
                <w:kern w:val="0"/>
                <w:sz w:val="21"/>
                <w:szCs w:val="21"/>
              </w:rPr>
              <w:t>及其</w:t>
            </w:r>
            <w:r>
              <w:rPr>
                <w:rFonts w:ascii="宋体" w:hAnsi="宋体"/>
                <w:kern w:val="0"/>
                <w:sz w:val="21"/>
                <w:szCs w:val="21"/>
              </w:rPr>
              <w:t>应用。通过</w:t>
            </w:r>
            <w:r>
              <w:rPr>
                <w:rFonts w:hint="eastAsia" w:ascii="宋体" w:hAnsi="宋体"/>
                <w:kern w:val="0"/>
                <w:sz w:val="21"/>
                <w:szCs w:val="21"/>
              </w:rPr>
              <w:t>本课程</w:t>
            </w:r>
            <w:r>
              <w:rPr>
                <w:rFonts w:ascii="宋体" w:hAnsi="宋体"/>
                <w:kern w:val="0"/>
                <w:sz w:val="21"/>
                <w:szCs w:val="21"/>
              </w:rPr>
              <w:t>的学习，</w:t>
            </w:r>
            <w:r>
              <w:rPr>
                <w:rFonts w:hint="eastAsia" w:ascii="宋体" w:hAnsi="宋体"/>
                <w:kern w:val="0"/>
                <w:sz w:val="21"/>
                <w:szCs w:val="21"/>
              </w:rPr>
              <w:t>使</w:t>
            </w:r>
            <w:r>
              <w:rPr>
                <w:rFonts w:ascii="宋体" w:hAnsi="宋体"/>
                <w:kern w:val="0"/>
                <w:sz w:val="21"/>
                <w:szCs w:val="21"/>
              </w:rPr>
              <w:t>学生初步受到用数学方法</w:t>
            </w:r>
            <w:r>
              <w:rPr>
                <w:rFonts w:hint="eastAsia" w:ascii="宋体" w:hAnsi="宋体"/>
                <w:kern w:val="0"/>
                <w:sz w:val="21"/>
                <w:szCs w:val="21"/>
              </w:rPr>
              <w:t>解决实际</w:t>
            </w:r>
            <w:r>
              <w:rPr>
                <w:rFonts w:ascii="宋体" w:hAnsi="宋体"/>
                <w:kern w:val="0"/>
                <w:sz w:val="21"/>
                <w:szCs w:val="21"/>
              </w:rPr>
              <w:t>问题的能力训练。</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高等数学</w:t>
            </w:r>
            <w:r>
              <w:rPr>
                <w:rFonts w:ascii="宋体" w:hAnsi="宋体"/>
                <w:sz w:val="21"/>
                <w:szCs w:val="21"/>
              </w:rPr>
              <w:t>基础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67" w:hRule="atLeast"/>
        </w:trPr>
        <w:tc>
          <w:tcPr>
            <w:tcW w:w="993" w:type="dxa"/>
            <w:vMerge w:val="continue"/>
            <w:vAlign w:val="center"/>
          </w:tcPr>
          <w:p>
            <w:pPr>
              <w:ind w:firstLine="0" w:firstLineChars="0"/>
            </w:pPr>
          </w:p>
        </w:tc>
        <w:tc>
          <w:tcPr>
            <w:tcW w:w="1733" w:type="dxa"/>
            <w:gridSpan w:val="2"/>
            <w:vMerge w:val="continue"/>
            <w:tcBorders>
              <w:top w:val="single" w:color="auto" w:sz="8" w:space="0"/>
              <w:bottom w:val="single" w:color="auto" w:sz="8"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ascii="宋体" w:hAnsi="宋体"/>
                <w:kern w:val="0"/>
                <w:sz w:val="21"/>
                <w:szCs w:val="21"/>
              </w:rPr>
              <w:t>5</w:t>
            </w:r>
            <w:r>
              <w:rPr>
                <w:rFonts w:hint="eastAsia" w:ascii="宋体" w:hAnsi="宋体"/>
                <w:kern w:val="0"/>
                <w:sz w:val="21"/>
                <w:szCs w:val="21"/>
              </w:rPr>
              <w:t>.通过</w:t>
            </w:r>
            <w:r>
              <w:rPr>
                <w:rFonts w:ascii="宋体" w:hAnsi="宋体"/>
                <w:kern w:val="0"/>
                <w:sz w:val="21"/>
                <w:szCs w:val="21"/>
              </w:rPr>
              <w:t>本课程的</w:t>
            </w:r>
            <w:r>
              <w:rPr>
                <w:rFonts w:hint="eastAsia" w:ascii="宋体" w:hAnsi="宋体"/>
                <w:kern w:val="0"/>
                <w:sz w:val="21"/>
                <w:szCs w:val="21"/>
              </w:rPr>
              <w:t>学习，</w:t>
            </w:r>
            <w:r>
              <w:rPr>
                <w:rFonts w:ascii="宋体" w:hAnsi="宋体"/>
                <w:kern w:val="0"/>
                <w:sz w:val="21"/>
                <w:szCs w:val="21"/>
              </w:rPr>
              <w:t>使学生掌握</w:t>
            </w:r>
            <w:r>
              <w:rPr>
                <w:rFonts w:hint="eastAsia" w:ascii="宋体" w:hAnsi="宋体"/>
                <w:kern w:val="0"/>
                <w:sz w:val="21"/>
                <w:szCs w:val="21"/>
              </w:rPr>
              <w:t>计算机的形成与发展，计算机操作系统，数据库管理系统、Word和Excel的使用方法和技巧，计算机网络和Internet。</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计算机</w:t>
            </w:r>
            <w:r>
              <w:rPr>
                <w:rFonts w:ascii="宋体" w:hAnsi="宋体"/>
                <w:sz w:val="21"/>
                <w:szCs w:val="21"/>
              </w:rPr>
              <w:t>文化基础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355" w:hRule="atLeast"/>
        </w:trPr>
        <w:tc>
          <w:tcPr>
            <w:tcW w:w="993" w:type="dxa"/>
            <w:vMerge w:val="continue"/>
            <w:vAlign w:val="center"/>
          </w:tcPr>
          <w:p>
            <w:pPr>
              <w:ind w:firstLine="0" w:firstLineChars="0"/>
            </w:pPr>
          </w:p>
        </w:tc>
        <w:tc>
          <w:tcPr>
            <w:tcW w:w="1733" w:type="dxa"/>
            <w:gridSpan w:val="2"/>
            <w:vMerge w:val="restart"/>
            <w:tcBorders>
              <w:top w:val="single" w:color="auto" w:sz="8" w:space="0"/>
              <w:bottom w:val="single" w:color="auto" w:sz="12" w:space="0"/>
            </w:tcBorders>
            <w:vAlign w:val="center"/>
          </w:tcPr>
          <w:p>
            <w:pPr>
              <w:ind w:firstLine="0" w:firstLineChars="0"/>
            </w:pPr>
            <w:r>
              <w:pict>
                <v:line id="直接连接符 1" o:spid="_x0000_s2061" o:spt="20" style="position:absolute;left:0pt;margin-left:-52.25pt;margin-top:306.25pt;height:0pt;width:0pt;z-index:251672576;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">
                  <v:path arrowok="t"/>
                  <v:fill focussize="0,0"/>
                  <v:stroke weight="0.5pt" color="#5B9BD5" joinstyle="miter"/>
                  <v:imagedata o:title=""/>
                  <o:lock v:ext="edit"/>
                </v:line>
              </w:pict>
            </w:r>
            <w:r>
              <w:t>5.2</w:t>
            </w:r>
            <w:r>
              <w:rPr>
                <w:rFonts w:hint="eastAsia"/>
              </w:rPr>
              <w:t>专业基础</w:t>
            </w:r>
            <w:r>
              <w:t>课</w:t>
            </w:r>
          </w:p>
        </w:tc>
        <w:tc>
          <w:tcPr>
            <w:tcW w:w="5794" w:type="dxa"/>
            <w:tcBorders>
              <w:bottom w:val="single" w:color="auto" w:sz="8" w:space="0"/>
            </w:tcBorders>
            <w:vAlign w:val="center"/>
          </w:tcPr>
          <w:p>
            <w:pPr>
              <w:ind w:firstLine="420"/>
              <w:rPr>
                <w:rFonts w:ascii="宋体" w:hAnsi="宋体"/>
                <w:kern w:val="0"/>
                <w:sz w:val="21"/>
                <w:szCs w:val="21"/>
              </w:rPr>
            </w:pPr>
            <w:r>
              <w:rPr>
                <w:rFonts w:hint="eastAsia" w:ascii="宋体" w:hAnsi="宋体"/>
                <w:kern w:val="0"/>
                <w:sz w:val="21"/>
                <w:szCs w:val="21"/>
              </w:rPr>
              <w:t>1</w:t>
            </w:r>
            <w:r>
              <w:rPr>
                <w:rFonts w:ascii="宋体" w:hAnsi="宋体"/>
                <w:kern w:val="0"/>
                <w:sz w:val="21"/>
                <w:szCs w:val="21"/>
              </w:rPr>
              <w:t xml:space="preserve">. </w:t>
            </w:r>
            <w:r>
              <w:rPr>
                <w:rFonts w:hint="eastAsia" w:ascii="宋体" w:hAnsi="宋体"/>
                <w:kern w:val="0"/>
                <w:sz w:val="21"/>
                <w:szCs w:val="21"/>
              </w:rPr>
              <w:t>通过本课程</w:t>
            </w:r>
            <w:r>
              <w:rPr>
                <w:rFonts w:ascii="宋体" w:hAnsi="宋体"/>
                <w:kern w:val="0"/>
                <w:sz w:val="21"/>
                <w:szCs w:val="21"/>
              </w:rPr>
              <w:t>的学习，</w:t>
            </w:r>
            <w:r>
              <w:rPr>
                <w:rFonts w:hint="eastAsia" w:ascii="宋体" w:hAnsi="宋体"/>
                <w:kern w:val="0"/>
                <w:sz w:val="21"/>
                <w:szCs w:val="21"/>
              </w:rPr>
              <w:t>使学生</w:t>
            </w:r>
            <w:r>
              <w:rPr>
                <w:rFonts w:ascii="宋体" w:hAnsi="宋体"/>
                <w:kern w:val="0"/>
                <w:sz w:val="21"/>
                <w:szCs w:val="21"/>
              </w:rPr>
              <w:t>了解国家制图标准基本知识、投影、机件表达方法、标准件与常用件、零件图、装配图和房屋建筑工程图，使学生建立空间概念，掌握投影规律，了解机件的表达方法，能读懂零件图、装配图和房屋建筑工程图并具备较强的手工绘制简单图形的能力。</w:t>
            </w:r>
          </w:p>
        </w:tc>
        <w:tc>
          <w:tcPr>
            <w:tcW w:w="851" w:type="dxa"/>
            <w:vAlign w:val="center"/>
          </w:tcPr>
          <w:p>
            <w:pPr>
              <w:spacing w:line="240" w:lineRule="auto"/>
              <w:ind w:firstLine="0" w:firstLineChars="0"/>
              <w:rPr>
                <w:rFonts w:ascii="宋体" w:hAnsi="宋体"/>
                <w:i/>
                <w:sz w:val="21"/>
                <w:szCs w:val="21"/>
              </w:rPr>
            </w:pPr>
            <w:r>
              <w:rPr>
                <w:rFonts w:hint="eastAsia" w:ascii="宋体" w:hAnsi="宋体"/>
                <w:sz w:val="21"/>
                <w:szCs w:val="21"/>
              </w:rPr>
              <w:t>工</w:t>
            </w:r>
            <w:r>
              <w:rPr>
                <w:rFonts w:ascii="宋体" w:hAnsi="宋体"/>
                <w:sz w:val="21"/>
                <w:szCs w:val="21"/>
              </w:rPr>
              <w:t>程制图基础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355" w:hRule="atLeast"/>
        </w:trPr>
        <w:tc>
          <w:tcPr>
            <w:tcW w:w="993" w:type="dxa"/>
            <w:vMerge w:val="continue"/>
            <w:vAlign w:val="center"/>
          </w:tcPr>
          <w:p>
            <w:pPr>
              <w:ind w:firstLine="0" w:firstLineChars="0"/>
            </w:pPr>
          </w:p>
        </w:tc>
        <w:tc>
          <w:tcPr>
            <w:tcW w:w="1733" w:type="dxa"/>
            <w:gridSpan w:val="2"/>
            <w:vMerge w:val="continue"/>
            <w:tcBorders>
              <w:top w:val="single" w:color="auto" w:sz="12" w:space="0"/>
              <w:bottom w:val="single" w:color="auto" w:sz="12" w:space="0"/>
            </w:tcBorders>
            <w:vAlign w:val="center"/>
          </w:tcPr>
          <w:p>
            <w:pPr>
              <w:ind w:firstLine="0" w:firstLineChars="0"/>
            </w:pPr>
          </w:p>
        </w:tc>
        <w:tc>
          <w:tcPr>
            <w:tcW w:w="5794" w:type="dxa"/>
            <w:tcBorders>
              <w:top w:val="single" w:color="auto" w:sz="8" w:space="0"/>
              <w:bottom w:val="single" w:color="auto" w:sz="12" w:space="0"/>
            </w:tcBorders>
            <w:vAlign w:val="center"/>
          </w:tcPr>
          <w:p>
            <w:pPr>
              <w:ind w:firstLine="420"/>
              <w:rPr>
                <w:rFonts w:ascii="宋体" w:hAnsi="宋体"/>
                <w:kern w:val="0"/>
                <w:sz w:val="21"/>
                <w:szCs w:val="21"/>
              </w:rPr>
            </w:pPr>
            <w:r>
              <w:rPr>
                <w:rFonts w:hint="eastAsia" w:ascii="宋体" w:hAnsi="宋体"/>
                <w:kern w:val="0"/>
                <w:sz w:val="21"/>
                <w:szCs w:val="21"/>
              </w:rPr>
              <w:t>2</w:t>
            </w:r>
            <w:r>
              <w:rPr>
                <w:rFonts w:ascii="宋体" w:hAnsi="宋体"/>
                <w:kern w:val="0"/>
                <w:sz w:val="21"/>
                <w:szCs w:val="21"/>
              </w:rPr>
              <w:t xml:space="preserve">. </w:t>
            </w:r>
            <w:r>
              <w:rPr>
                <w:rFonts w:hint="eastAsia" w:ascii="宋体" w:hAnsi="宋体"/>
                <w:kern w:val="0"/>
                <w:sz w:val="21"/>
                <w:szCs w:val="21"/>
              </w:rPr>
              <w:t>通过本课程</w:t>
            </w:r>
            <w:r>
              <w:rPr>
                <w:rFonts w:ascii="宋体" w:hAnsi="宋体"/>
                <w:kern w:val="0"/>
                <w:sz w:val="21"/>
                <w:szCs w:val="21"/>
              </w:rPr>
              <w:t>的</w:t>
            </w:r>
            <w:r>
              <w:rPr>
                <w:rFonts w:hint="eastAsia" w:ascii="宋体" w:hAnsi="宋体"/>
                <w:kern w:val="0"/>
                <w:sz w:val="21"/>
                <w:szCs w:val="21"/>
              </w:rPr>
              <w:t>学习，</w:t>
            </w:r>
            <w:r>
              <w:rPr>
                <w:rFonts w:ascii="宋体" w:hAnsi="宋体"/>
                <w:kern w:val="0"/>
                <w:sz w:val="21"/>
                <w:szCs w:val="21"/>
              </w:rPr>
              <w:t>使学生了解</w:t>
            </w:r>
            <w:r>
              <w:rPr>
                <w:rFonts w:hint="eastAsia" w:ascii="宋体" w:hAnsi="宋体"/>
                <w:kern w:val="0"/>
                <w:sz w:val="21"/>
                <w:szCs w:val="21"/>
              </w:rPr>
              <w:t>安全系统工程概论、事故树分析方法、事故预防、安全人机工程、安全评价、安全预测与安全决策、安全生产管理等，让学生掌握系统工程学的原理和劳动安全科学管理方法，能够对系统或生产中的安全问题进行定性和定量分析、评价及预测，并采取综合性安全措施予以控制，使系统发生事故的可能性减少到最低限度。</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安全</w:t>
            </w:r>
            <w:r>
              <w:rPr>
                <w:rFonts w:ascii="宋体" w:hAnsi="宋体"/>
                <w:sz w:val="21"/>
                <w:szCs w:val="21"/>
              </w:rPr>
              <w:t>系统工程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73" w:hRule="atLeast"/>
        </w:trPr>
        <w:tc>
          <w:tcPr>
            <w:tcW w:w="993" w:type="dxa"/>
            <w:vMerge w:val="continue"/>
            <w:vAlign w:val="center"/>
          </w:tcPr>
          <w:p>
            <w:pPr>
              <w:ind w:firstLine="0" w:firstLineChars="0"/>
            </w:pPr>
          </w:p>
        </w:tc>
        <w:tc>
          <w:tcPr>
            <w:tcW w:w="1733" w:type="dxa"/>
            <w:gridSpan w:val="2"/>
            <w:vMerge w:val="continue"/>
            <w:tcBorders>
              <w:top w:val="single" w:color="auto" w:sz="12" w:space="0"/>
              <w:bottom w:val="single" w:color="auto" w:sz="12" w:space="0"/>
            </w:tcBorders>
            <w:vAlign w:val="center"/>
          </w:tcPr>
          <w:p>
            <w:pPr>
              <w:ind w:firstLine="0" w:firstLineChars="0"/>
            </w:pPr>
          </w:p>
        </w:tc>
        <w:tc>
          <w:tcPr>
            <w:tcW w:w="5794" w:type="dxa"/>
            <w:tcBorders>
              <w:top w:val="single" w:color="auto" w:sz="12" w:space="0"/>
            </w:tcBorders>
            <w:vAlign w:val="center"/>
          </w:tcPr>
          <w:p>
            <w:pPr>
              <w:ind w:firstLine="420"/>
              <w:rPr>
                <w:rFonts w:ascii="宋体" w:hAnsi="宋体"/>
                <w:kern w:val="0"/>
                <w:sz w:val="21"/>
                <w:szCs w:val="21"/>
              </w:rPr>
            </w:pPr>
            <w:r>
              <w:rPr>
                <w:rFonts w:hint="eastAsia" w:ascii="宋体" w:hAnsi="宋体"/>
                <w:kern w:val="0"/>
                <w:sz w:val="21"/>
                <w:szCs w:val="21"/>
              </w:rPr>
              <w:t>3</w:t>
            </w:r>
            <w:r>
              <w:rPr>
                <w:rFonts w:ascii="宋体" w:hAnsi="宋体"/>
                <w:kern w:val="0"/>
                <w:sz w:val="21"/>
                <w:szCs w:val="21"/>
              </w:rPr>
              <w:t xml:space="preserve">. </w:t>
            </w:r>
            <w:r>
              <w:rPr>
                <w:rFonts w:hint="eastAsia" w:ascii="宋体" w:hAnsi="宋体"/>
                <w:kern w:val="0"/>
                <w:sz w:val="21"/>
                <w:szCs w:val="21"/>
              </w:rPr>
              <w:t>通过本课程</w:t>
            </w:r>
            <w:r>
              <w:rPr>
                <w:rFonts w:ascii="宋体" w:hAnsi="宋体"/>
                <w:kern w:val="0"/>
                <w:sz w:val="21"/>
                <w:szCs w:val="21"/>
              </w:rPr>
              <w:t>的</w:t>
            </w:r>
            <w:r>
              <w:rPr>
                <w:rFonts w:hint="eastAsia" w:ascii="宋体" w:hAnsi="宋体"/>
                <w:kern w:val="0"/>
                <w:sz w:val="21"/>
                <w:szCs w:val="21"/>
              </w:rPr>
              <w:t>学习，</w:t>
            </w:r>
            <w:r>
              <w:rPr>
                <w:rFonts w:ascii="宋体" w:hAnsi="宋体"/>
                <w:kern w:val="0"/>
                <w:sz w:val="21"/>
                <w:szCs w:val="21"/>
              </w:rPr>
              <w:t>使学生了解</w:t>
            </w:r>
            <w:r>
              <w:rPr>
                <w:rFonts w:hint="eastAsia" w:ascii="宋体" w:hAnsi="宋体"/>
                <w:kern w:val="0"/>
                <w:sz w:val="21"/>
                <w:szCs w:val="21"/>
              </w:rPr>
              <w:t>安全管理基础知识、安全生产管理理论、安全生产法规与安全管理制度、安全技术措施、事故应急救援、典型安全管理模式、现场安全管理的理论和方法，使学生在一个较高的层次上全面深入地了解安全管理基本理论，熟悉我国安全管理体制，掌握事故预防、控制的对策与方法。</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安全</w:t>
            </w:r>
            <w:r>
              <w:rPr>
                <w:rFonts w:ascii="宋体" w:hAnsi="宋体"/>
                <w:sz w:val="21"/>
                <w:szCs w:val="21"/>
              </w:rPr>
              <w:t>管理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111" w:hRule="atLeast"/>
        </w:trPr>
        <w:tc>
          <w:tcPr>
            <w:tcW w:w="993" w:type="dxa"/>
            <w:vMerge w:val="continue"/>
            <w:vAlign w:val="center"/>
          </w:tcPr>
          <w:p>
            <w:pPr>
              <w:ind w:firstLine="0" w:firstLineChars="0"/>
            </w:pPr>
          </w:p>
        </w:tc>
        <w:tc>
          <w:tcPr>
            <w:tcW w:w="1733" w:type="dxa"/>
            <w:gridSpan w:val="2"/>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4.通过本课程</w:t>
            </w:r>
            <w:r>
              <w:rPr>
                <w:rFonts w:ascii="宋体" w:hAnsi="宋体"/>
                <w:kern w:val="0"/>
                <w:sz w:val="21"/>
                <w:szCs w:val="21"/>
              </w:rPr>
              <w:t>的</w:t>
            </w:r>
            <w:r>
              <w:rPr>
                <w:rFonts w:hint="eastAsia" w:ascii="宋体" w:hAnsi="宋体"/>
                <w:kern w:val="0"/>
                <w:sz w:val="21"/>
                <w:szCs w:val="21"/>
              </w:rPr>
              <w:t>学习，</w:t>
            </w:r>
            <w:r>
              <w:rPr>
                <w:rFonts w:ascii="宋体" w:hAnsi="宋体"/>
                <w:kern w:val="0"/>
                <w:sz w:val="21"/>
                <w:szCs w:val="21"/>
              </w:rPr>
              <w:t>使学生</w:t>
            </w:r>
            <w:r>
              <w:rPr>
                <w:rFonts w:hint="eastAsia" w:ascii="宋体" w:hAnsi="宋体"/>
                <w:kern w:val="0"/>
                <w:sz w:val="21"/>
                <w:szCs w:val="21"/>
              </w:rPr>
              <w:t>了解</w:t>
            </w:r>
            <w:r>
              <w:rPr>
                <w:rFonts w:ascii="宋体" w:hAnsi="宋体"/>
                <w:kern w:val="0"/>
                <w:sz w:val="21"/>
                <w:szCs w:val="21"/>
              </w:rPr>
              <w:t>和掌握行为科学与安全生产有关的理论，为防止人失误，</w:t>
            </w:r>
            <w:r>
              <w:rPr>
                <w:rFonts w:hint="eastAsia" w:ascii="宋体" w:hAnsi="宋体"/>
                <w:kern w:val="0"/>
                <w:sz w:val="21"/>
                <w:szCs w:val="21"/>
              </w:rPr>
              <w:t>了解</w:t>
            </w:r>
            <w:r>
              <w:rPr>
                <w:rFonts w:ascii="宋体" w:hAnsi="宋体"/>
                <w:kern w:val="0"/>
                <w:sz w:val="21"/>
                <w:szCs w:val="21"/>
              </w:rPr>
              <w:t>安全人机学、安全心理学基本知识</w:t>
            </w:r>
            <w:r>
              <w:rPr>
                <w:rFonts w:hint="eastAsia" w:ascii="宋体" w:hAnsi="宋体"/>
                <w:kern w:val="0"/>
                <w:sz w:val="21"/>
                <w:szCs w:val="21"/>
              </w:rPr>
              <w:t>、</w:t>
            </w:r>
            <w:r>
              <w:rPr>
                <w:rFonts w:ascii="宋体" w:hAnsi="宋体"/>
                <w:kern w:val="0"/>
                <w:sz w:val="21"/>
                <w:szCs w:val="21"/>
              </w:rPr>
              <w:t>安全原理</w:t>
            </w:r>
            <w:r>
              <w:rPr>
                <w:rFonts w:hint="eastAsia" w:ascii="宋体" w:hAnsi="宋体"/>
                <w:kern w:val="0"/>
                <w:sz w:val="21"/>
                <w:szCs w:val="21"/>
              </w:rPr>
              <w:t>、</w:t>
            </w:r>
            <w:r>
              <w:rPr>
                <w:rFonts w:ascii="宋体" w:hAnsi="宋体"/>
                <w:kern w:val="0"/>
                <w:sz w:val="21"/>
                <w:szCs w:val="21"/>
              </w:rPr>
              <w:t>物质、设备安全的物流安全原理和安全信息</w:t>
            </w:r>
            <w:r>
              <w:rPr>
                <w:rFonts w:hint="eastAsia" w:ascii="宋体" w:hAnsi="宋体"/>
                <w:kern w:val="0"/>
                <w:sz w:val="21"/>
                <w:szCs w:val="21"/>
              </w:rPr>
              <w:t>等</w:t>
            </w:r>
            <w:r>
              <w:rPr>
                <w:rFonts w:ascii="宋体" w:hAnsi="宋体"/>
                <w:kern w:val="0"/>
                <w:sz w:val="21"/>
                <w:szCs w:val="21"/>
              </w:rPr>
              <w:t>知识。</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安全</w:t>
            </w:r>
            <w:r>
              <w:rPr>
                <w:rFonts w:ascii="宋体" w:hAnsi="宋体"/>
                <w:sz w:val="21"/>
                <w:szCs w:val="21"/>
              </w:rPr>
              <w:t>原理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25" w:hRule="atLeast"/>
        </w:trPr>
        <w:tc>
          <w:tcPr>
            <w:tcW w:w="993" w:type="dxa"/>
            <w:vMerge w:val="continue"/>
            <w:vAlign w:val="center"/>
          </w:tcPr>
          <w:p>
            <w:pPr>
              <w:ind w:firstLine="0" w:firstLineChars="0"/>
            </w:pPr>
          </w:p>
        </w:tc>
        <w:tc>
          <w:tcPr>
            <w:tcW w:w="1733" w:type="dxa"/>
            <w:gridSpan w:val="2"/>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5.通过本课程</w:t>
            </w:r>
            <w:r>
              <w:rPr>
                <w:rFonts w:ascii="宋体" w:hAnsi="宋体"/>
                <w:kern w:val="0"/>
                <w:sz w:val="21"/>
                <w:szCs w:val="21"/>
              </w:rPr>
              <w:t>的学习，使学生了解</w:t>
            </w:r>
            <w:r>
              <w:rPr>
                <w:rFonts w:hint="eastAsia" w:ascii="宋体" w:hAnsi="宋体"/>
                <w:kern w:val="0"/>
                <w:sz w:val="21"/>
                <w:szCs w:val="21"/>
              </w:rPr>
              <w:t>人的特性及其数学模型、机的特性以及人机界面的设计、环境特性以及作业空间的设计、人－机－环境系统的总体性能分析与安全评价、安全人机工程学基础理论的应用等方面的知识的</w:t>
            </w:r>
            <w:r>
              <w:rPr>
                <w:rFonts w:ascii="宋体" w:hAnsi="宋体"/>
                <w:kern w:val="0"/>
                <w:sz w:val="21"/>
                <w:szCs w:val="21"/>
              </w:rPr>
              <w:t>学习</w:t>
            </w:r>
            <w:r>
              <w:rPr>
                <w:rFonts w:hint="eastAsia" w:ascii="宋体" w:hAnsi="宋体"/>
                <w:kern w:val="0"/>
                <w:sz w:val="21"/>
                <w:szCs w:val="21"/>
              </w:rPr>
              <w:t>，让学生掌握安全人机工程的基础理论，为以后从事安全的人机系统评价打下的基础。</w:t>
            </w:r>
          </w:p>
        </w:tc>
        <w:tc>
          <w:tcPr>
            <w:tcW w:w="851" w:type="dxa"/>
            <w:vAlign w:val="center"/>
          </w:tcPr>
          <w:p>
            <w:pPr>
              <w:spacing w:line="240" w:lineRule="auto"/>
              <w:ind w:firstLine="0" w:firstLineChars="0"/>
              <w:rPr>
                <w:rFonts w:ascii="宋体" w:hAnsi="宋体"/>
                <w:sz w:val="21"/>
                <w:szCs w:val="21"/>
              </w:rPr>
            </w:pPr>
            <w:r>
              <w:rPr>
                <w:rFonts w:ascii="宋体" w:hAnsi="宋体" w:cs="宋体"/>
                <w:kern w:val="1"/>
                <w:sz w:val="21"/>
                <w:szCs w:val="21"/>
              </w:rPr>
              <w:t>安全人机工程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681" w:hRule="atLeast"/>
        </w:trPr>
        <w:tc>
          <w:tcPr>
            <w:tcW w:w="993" w:type="dxa"/>
            <w:vMerge w:val="continue"/>
            <w:vAlign w:val="center"/>
          </w:tcPr>
          <w:p>
            <w:pPr>
              <w:ind w:firstLine="0" w:firstLineChars="0"/>
            </w:pPr>
          </w:p>
        </w:tc>
        <w:tc>
          <w:tcPr>
            <w:tcW w:w="1733" w:type="dxa"/>
            <w:gridSpan w:val="2"/>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6.通过本课程</w:t>
            </w:r>
            <w:r>
              <w:rPr>
                <w:rFonts w:ascii="宋体" w:hAnsi="宋体"/>
                <w:kern w:val="0"/>
                <w:sz w:val="21"/>
                <w:szCs w:val="21"/>
              </w:rPr>
              <w:t>的学习，使学生了解</w:t>
            </w:r>
            <w:r>
              <w:rPr>
                <w:rFonts w:hint="eastAsia" w:ascii="宋体" w:hAnsi="宋体"/>
                <w:kern w:val="0"/>
                <w:sz w:val="21"/>
                <w:szCs w:val="21"/>
              </w:rPr>
              <w:t>工业有害物及其防治、通风方法及通风系统组成、局部排风罩、除尘技术、通风设备、除尘系统的维护管理与技术经济分析等知识，掌握作业环境中有毒有害气体和粉尘的性质、危害、分布特征、传播规律与检测方法，掌握控制与消除作业环境中有毒有害气体和粉尘的通风防尘技术方法、原理与措施。</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工业通风及除尘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681" w:hRule="atLeast"/>
        </w:trPr>
        <w:tc>
          <w:tcPr>
            <w:tcW w:w="993" w:type="dxa"/>
            <w:vMerge w:val="continue"/>
            <w:vAlign w:val="center"/>
          </w:tcPr>
          <w:p>
            <w:pPr>
              <w:ind w:firstLine="0" w:firstLineChars="0"/>
            </w:pPr>
          </w:p>
        </w:tc>
        <w:tc>
          <w:tcPr>
            <w:tcW w:w="1733" w:type="dxa"/>
            <w:gridSpan w:val="2"/>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7.通过本课程</w:t>
            </w:r>
            <w:r>
              <w:rPr>
                <w:rFonts w:ascii="宋体" w:hAnsi="宋体"/>
                <w:kern w:val="0"/>
                <w:sz w:val="21"/>
                <w:szCs w:val="21"/>
              </w:rPr>
              <w:t>的学习</w:t>
            </w:r>
            <w:r>
              <w:rPr>
                <w:rFonts w:hint="eastAsia" w:ascii="宋体" w:hAnsi="宋体"/>
                <w:kern w:val="0"/>
                <w:sz w:val="21"/>
                <w:szCs w:val="21"/>
              </w:rPr>
              <w:t>，使学生掌握流体静止与运动的基本规律与基本原理，了解能量损失计算及管路计算的方法；学会必要的理论分析与计算方法；掌握一定的实验方法，培养学生分析问题和解决问题的能力，具备分析工程传热问题的基本能力，掌握计算工程传热问题的基本方法，并学会分析强化或削弱热量传递过程的方法，为以后进一步学习专业知识，从事专业工作以及进行科学研究打下基础。</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sz w:val="21"/>
                <w:szCs w:val="21"/>
              </w:rPr>
              <w:t>流体</w:t>
            </w:r>
            <w:r>
              <w:rPr>
                <w:rFonts w:ascii="宋体" w:hAnsi="宋体"/>
                <w:sz w:val="21"/>
                <w:szCs w:val="21"/>
              </w:rPr>
              <w:t>力学</w:t>
            </w:r>
            <w:r>
              <w:rPr>
                <w:rFonts w:hint="eastAsia" w:ascii="宋体" w:hAnsi="宋体"/>
                <w:sz w:val="21"/>
                <w:szCs w:val="21"/>
              </w:rPr>
              <w:t>与</w:t>
            </w:r>
            <w:r>
              <w:rPr>
                <w:rFonts w:hint="eastAsia" w:ascii="宋体" w:hAnsi="宋体" w:cs="Arial"/>
                <w:sz w:val="21"/>
                <w:szCs w:val="21"/>
                <w:shd w:val="clear" w:color="auto" w:fill="FFFFFF"/>
              </w:rPr>
              <w:t>热工</w:t>
            </w:r>
            <w:r>
              <w:rPr>
                <w:rFonts w:ascii="宋体" w:hAnsi="宋体" w:cs="Arial"/>
                <w:sz w:val="21"/>
                <w:szCs w:val="21"/>
                <w:shd w:val="clear" w:color="auto" w:fill="FFFFFF"/>
              </w:rPr>
              <w:t>学</w:t>
            </w:r>
            <w:r>
              <w:rPr>
                <w:rFonts w:hint="eastAsia" w:ascii="宋体" w:hAnsi="宋体" w:cs="Arial"/>
                <w:sz w:val="21"/>
                <w:szCs w:val="21"/>
                <w:shd w:val="clear" w:color="auto" w:fill="FFFFFF"/>
              </w:rPr>
              <w:t>基 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677" w:hRule="atLeast"/>
        </w:trPr>
        <w:tc>
          <w:tcPr>
            <w:tcW w:w="993" w:type="dxa"/>
            <w:vMerge w:val="continue"/>
            <w:vAlign w:val="center"/>
          </w:tcPr>
          <w:p>
            <w:pPr>
              <w:ind w:firstLine="0" w:firstLineChars="0"/>
            </w:pPr>
          </w:p>
        </w:tc>
        <w:tc>
          <w:tcPr>
            <w:tcW w:w="1733" w:type="dxa"/>
            <w:gridSpan w:val="2"/>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8.通过本课程学习，使学生了解安全管理文书制作、运用及安全与科技论文的写作能力，掌握文书的撰写、行文关系和规则、办理程序、归档及电子公文的制作和管理、事故调查报告、事故与灾难应急预案、安全评价报告的写作、现场安全技术措施方案、事故隐患整改报告的写作、安全与科技论文的写作，提高</w:t>
            </w:r>
            <w:r>
              <w:rPr>
                <w:rFonts w:ascii="宋体" w:hAnsi="宋体"/>
                <w:kern w:val="0"/>
                <w:sz w:val="21"/>
                <w:szCs w:val="21"/>
              </w:rPr>
              <w:t>学生</w:t>
            </w:r>
            <w:r>
              <w:rPr>
                <w:rFonts w:hint="eastAsia" w:ascii="宋体" w:hAnsi="宋体"/>
                <w:kern w:val="0"/>
                <w:sz w:val="21"/>
                <w:szCs w:val="21"/>
              </w:rPr>
              <w:t>安全</w:t>
            </w:r>
            <w:r>
              <w:rPr>
                <w:rFonts w:ascii="宋体" w:hAnsi="宋体"/>
                <w:kern w:val="0"/>
                <w:sz w:val="21"/>
                <w:szCs w:val="21"/>
              </w:rPr>
              <w:t>管理文书写作的能力</w:t>
            </w:r>
            <w:r>
              <w:rPr>
                <w:rFonts w:hint="eastAsia" w:ascii="宋体" w:hAnsi="宋体"/>
                <w:kern w:val="0"/>
                <w:sz w:val="21"/>
                <w:szCs w:val="21"/>
              </w:rPr>
              <w:t>。</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安全</w:t>
            </w:r>
            <w:r>
              <w:rPr>
                <w:rFonts w:ascii="宋体" w:hAnsi="宋体"/>
                <w:sz w:val="21"/>
                <w:szCs w:val="21"/>
              </w:rPr>
              <w:t>管理文书写作</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432" w:hRule="atLeast"/>
        </w:trPr>
        <w:tc>
          <w:tcPr>
            <w:tcW w:w="993" w:type="dxa"/>
            <w:vMerge w:val="continue"/>
            <w:vAlign w:val="center"/>
          </w:tcPr>
          <w:p>
            <w:pPr>
              <w:ind w:firstLine="0" w:firstLineChars="0"/>
            </w:pPr>
          </w:p>
        </w:tc>
        <w:tc>
          <w:tcPr>
            <w:tcW w:w="1733" w:type="dxa"/>
            <w:gridSpan w:val="2"/>
            <w:vMerge w:val="continue"/>
            <w:tcBorders>
              <w:top w:val="single" w:color="auto" w:sz="12" w:space="0"/>
              <w:bottom w:val="single" w:color="auto" w:sz="6"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9.通过本课程的</w:t>
            </w:r>
            <w:r>
              <w:rPr>
                <w:rFonts w:ascii="宋体" w:hAnsi="宋体"/>
                <w:kern w:val="0"/>
                <w:sz w:val="21"/>
                <w:szCs w:val="21"/>
              </w:rPr>
              <w:t>学习，</w:t>
            </w:r>
            <w:r>
              <w:rPr>
                <w:rFonts w:hint="eastAsia" w:ascii="宋体" w:hAnsi="宋体"/>
                <w:kern w:val="0"/>
                <w:sz w:val="21"/>
                <w:szCs w:val="21"/>
              </w:rPr>
              <w:t>使学生对管理信息系统的理论和应用有较深刻的了解，掌握管理信息系统的概念和结构，掌握管理信息系统开发的过程和方法，以及运行、维护、管理等环节的知识，初步具备管理信息系统建设、应用和管理的能力。</w:t>
            </w:r>
          </w:p>
        </w:tc>
        <w:tc>
          <w:tcPr>
            <w:tcW w:w="851" w:type="dxa"/>
            <w:vAlign w:val="center"/>
          </w:tcPr>
          <w:p>
            <w:pPr>
              <w:spacing w:line="240" w:lineRule="auto"/>
              <w:ind w:firstLine="0" w:firstLineChars="0"/>
              <w:rPr>
                <w:rFonts w:ascii="宋体" w:hAnsi="宋体"/>
                <w:sz w:val="21"/>
                <w:szCs w:val="21"/>
              </w:rPr>
            </w:pPr>
            <w:r>
              <w:rPr>
                <w:rFonts w:hint="eastAsia" w:ascii="宋体" w:hAnsi="宋体"/>
                <w:sz w:val="21"/>
                <w:szCs w:val="21"/>
              </w:rPr>
              <w:t>信息</w:t>
            </w:r>
            <w:r>
              <w:rPr>
                <w:rFonts w:ascii="宋体" w:hAnsi="宋体"/>
                <w:sz w:val="21"/>
                <w:szCs w:val="21"/>
              </w:rPr>
              <w:t>管理系统</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0" w:hRule="atLeast"/>
        </w:trPr>
        <w:tc>
          <w:tcPr>
            <w:tcW w:w="993" w:type="dxa"/>
            <w:vMerge w:val="restart"/>
            <w:vAlign w:val="center"/>
          </w:tcPr>
          <w:p>
            <w:pPr>
              <w:spacing w:line="240" w:lineRule="auto"/>
              <w:ind w:firstLine="0" w:firstLineChars="0"/>
              <w:rPr>
                <w:b/>
              </w:rPr>
            </w:pPr>
            <w:r>
              <w:rPr>
                <w:rFonts w:hint="eastAsia"/>
                <w:b/>
              </w:rPr>
              <w:t>六</w:t>
            </w:r>
            <w:r>
              <w:rPr>
                <w:b/>
              </w:rPr>
              <w:t>、知识、能力结构及其支撑课程（活动）（续）</w:t>
            </w:r>
          </w:p>
        </w:tc>
        <w:tc>
          <w:tcPr>
            <w:tcW w:w="708" w:type="dxa"/>
            <w:vMerge w:val="restart"/>
            <w:tcBorders>
              <w:top w:val="single" w:color="auto" w:sz="6" w:space="0"/>
              <w:bottom w:val="single" w:color="auto" w:sz="12" w:space="0"/>
            </w:tcBorders>
            <w:vAlign w:val="center"/>
          </w:tcPr>
          <w:p>
            <w:pPr>
              <w:ind w:firstLine="0" w:firstLineChars="0"/>
            </w:pPr>
            <w:r>
              <w:t>6.1  专业</w:t>
            </w:r>
          </w:p>
          <w:p>
            <w:pPr>
              <w:ind w:firstLine="0" w:firstLineChars="0"/>
            </w:pPr>
            <w:r>
              <w:t>/</w:t>
            </w:r>
          </w:p>
          <w:p>
            <w:pPr>
              <w:ind w:firstLine="0" w:firstLineChars="0"/>
            </w:pPr>
            <w:r>
              <w:t>职业能力</w:t>
            </w:r>
          </w:p>
        </w:tc>
        <w:tc>
          <w:tcPr>
            <w:tcW w:w="1025" w:type="dxa"/>
            <w:vMerge w:val="restart"/>
            <w:tcBorders>
              <w:top w:val="single" w:color="auto" w:sz="6" w:space="0"/>
              <w:bottom w:val="single" w:color="auto" w:sz="12" w:space="0"/>
            </w:tcBorders>
            <w:vAlign w:val="center"/>
          </w:tcPr>
          <w:p>
            <w:pPr>
              <w:ind w:firstLine="0" w:firstLineChars="0"/>
              <w:jc w:val="left"/>
            </w:pPr>
            <w:r>
              <w:rPr>
                <w:rFonts w:hint="eastAsia"/>
              </w:rPr>
              <w:t>1</w:t>
            </w:r>
            <w:r>
              <w:t>.</w:t>
            </w:r>
            <w:r>
              <w:rPr>
                <w:rFonts w:hint="eastAsia"/>
              </w:rPr>
              <w:t>专业</w:t>
            </w:r>
          </w:p>
          <w:p>
            <w:pPr>
              <w:ind w:firstLine="0" w:firstLineChars="0"/>
            </w:pPr>
            <w:r>
              <w:t>课</w:t>
            </w:r>
          </w:p>
        </w:tc>
        <w:tc>
          <w:tcPr>
            <w:tcW w:w="5794" w:type="dxa"/>
            <w:vAlign w:val="center"/>
          </w:tcPr>
          <w:p>
            <w:pPr>
              <w:ind w:firstLine="420"/>
              <w:rPr>
                <w:rFonts w:ascii="宋体" w:hAnsi="宋体"/>
                <w:kern w:val="0"/>
                <w:sz w:val="21"/>
                <w:szCs w:val="21"/>
              </w:rPr>
            </w:pPr>
            <w:r>
              <w:rPr>
                <w:rFonts w:hint="eastAsia" w:ascii="宋体" w:hAnsi="宋体"/>
                <w:kern w:val="0"/>
                <w:sz w:val="21"/>
                <w:szCs w:val="21"/>
              </w:rPr>
              <w:t>1. 通过</w:t>
            </w:r>
            <w:r>
              <w:rPr>
                <w:rFonts w:ascii="宋体" w:hAnsi="宋体"/>
                <w:kern w:val="0"/>
                <w:sz w:val="21"/>
                <w:szCs w:val="21"/>
              </w:rPr>
              <w:t>对</w:t>
            </w:r>
            <w:r>
              <w:rPr>
                <w:rFonts w:hint="eastAsia" w:ascii="宋体" w:hAnsi="宋体"/>
                <w:kern w:val="0"/>
                <w:sz w:val="21"/>
                <w:szCs w:val="21"/>
              </w:rPr>
              <w:t>本课程</w:t>
            </w:r>
            <w:r>
              <w:rPr>
                <w:rFonts w:ascii="宋体" w:hAnsi="宋体"/>
                <w:kern w:val="0"/>
                <w:sz w:val="21"/>
                <w:szCs w:val="21"/>
              </w:rPr>
              <w:t>的学习，使学生</w:t>
            </w:r>
            <w:r>
              <w:rPr>
                <w:rFonts w:hint="eastAsia" w:ascii="宋体" w:hAnsi="宋体"/>
                <w:kern w:val="0"/>
                <w:sz w:val="21"/>
                <w:szCs w:val="21"/>
              </w:rPr>
              <w:t>了解</w:t>
            </w:r>
            <w:r>
              <w:rPr>
                <w:rFonts w:ascii="宋体" w:hAnsi="宋体"/>
                <w:kern w:val="0"/>
                <w:sz w:val="21"/>
                <w:szCs w:val="21"/>
              </w:rPr>
              <w:t>锅炉、压力容器、压力管道、电梯、起重机械、客运索道、大型游乐设施等特种设备的安全管理及日常维护、质量检验等</w:t>
            </w:r>
            <w:r>
              <w:rPr>
                <w:rFonts w:hint="eastAsia" w:ascii="宋体" w:hAnsi="宋体"/>
                <w:kern w:val="0"/>
                <w:sz w:val="21"/>
                <w:szCs w:val="21"/>
              </w:rPr>
              <w:t>专业</w:t>
            </w:r>
            <w:r>
              <w:rPr>
                <w:rFonts w:ascii="宋体" w:hAnsi="宋体"/>
                <w:kern w:val="0"/>
                <w:sz w:val="21"/>
                <w:szCs w:val="21"/>
              </w:rPr>
              <w:t>知识，掌握特种设备的所需的安全生产知识</w:t>
            </w:r>
            <w:r>
              <w:rPr>
                <w:rFonts w:hint="eastAsia" w:ascii="宋体" w:hAnsi="宋体"/>
                <w:kern w:val="0"/>
                <w:sz w:val="21"/>
                <w:szCs w:val="21"/>
              </w:rPr>
              <w:t>，</w:t>
            </w:r>
            <w:r>
              <w:rPr>
                <w:rFonts w:ascii="宋体" w:hAnsi="宋体"/>
                <w:kern w:val="0"/>
                <w:sz w:val="21"/>
                <w:szCs w:val="21"/>
              </w:rPr>
              <w:t>提高</w:t>
            </w:r>
            <w:r>
              <w:rPr>
                <w:rFonts w:hint="eastAsia" w:ascii="宋体" w:hAnsi="宋体"/>
                <w:kern w:val="0"/>
                <w:sz w:val="21"/>
                <w:szCs w:val="21"/>
              </w:rPr>
              <w:t>学生</w:t>
            </w:r>
            <w:r>
              <w:rPr>
                <w:rFonts w:ascii="宋体" w:hAnsi="宋体"/>
                <w:kern w:val="0"/>
                <w:sz w:val="21"/>
                <w:szCs w:val="21"/>
              </w:rPr>
              <w:t>安全</w:t>
            </w:r>
            <w:r>
              <w:rPr>
                <w:rFonts w:hint="eastAsia" w:ascii="宋体" w:hAnsi="宋体"/>
                <w:kern w:val="0"/>
                <w:sz w:val="21"/>
                <w:szCs w:val="21"/>
              </w:rPr>
              <w:t>生产</w:t>
            </w:r>
            <w:r>
              <w:rPr>
                <w:rFonts w:ascii="宋体" w:hAnsi="宋体"/>
                <w:kern w:val="0"/>
                <w:sz w:val="21"/>
                <w:szCs w:val="21"/>
              </w:rPr>
              <w:t>技能，增强事故预防和应急处理能力。</w:t>
            </w:r>
          </w:p>
        </w:tc>
        <w:tc>
          <w:tcPr>
            <w:tcW w:w="851" w:type="dxa"/>
            <w:vAlign w:val="center"/>
          </w:tcPr>
          <w:p>
            <w:pPr>
              <w:spacing w:line="240" w:lineRule="auto"/>
              <w:ind w:firstLine="0" w:firstLineChars="0"/>
              <w:jc w:val="distribute"/>
              <w:rPr>
                <w:rFonts w:ascii="宋体" w:hAnsi="宋体"/>
                <w:sz w:val="21"/>
                <w:szCs w:val="21"/>
              </w:rPr>
            </w:pPr>
            <w:r>
              <w:rPr>
                <w:rFonts w:ascii="宋体" w:hAnsi="宋体" w:cs="宋体"/>
                <w:kern w:val="1"/>
                <w:sz w:val="21"/>
                <w:szCs w:val="21"/>
              </w:rPr>
              <w:t>特种设备安全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0"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ascii="宋体" w:hAnsi="宋体"/>
                <w:kern w:val="0"/>
                <w:sz w:val="21"/>
                <w:szCs w:val="21"/>
              </w:rPr>
              <w:t xml:space="preserve">2. </w:t>
            </w:r>
            <w:r>
              <w:rPr>
                <w:rFonts w:hint="eastAsia" w:ascii="宋体" w:hAnsi="宋体"/>
                <w:kern w:val="0"/>
                <w:sz w:val="21"/>
                <w:szCs w:val="21"/>
              </w:rPr>
              <w:t>通过本课程</w:t>
            </w:r>
            <w:r>
              <w:rPr>
                <w:rFonts w:ascii="宋体" w:hAnsi="宋体"/>
                <w:kern w:val="0"/>
                <w:sz w:val="21"/>
                <w:szCs w:val="21"/>
              </w:rPr>
              <w:t>的学习，使学生了解危险性分析与应急响应分级、应急救援通信与信息和事故应急救援装备配备与使用以及事故发生后的现场抢险处置方法，</w:t>
            </w:r>
            <w:r>
              <w:fldChar w:fldCharType="begin"/>
            </w:r>
            <w:r>
              <w:instrText xml:space="preserve"> HYPERLINK "http://baike.sogou.com/lemma/ShowInnerLink.htm?lemmaId=6941354&amp;ss_c=ssc.citiao.link" \t "_blank" </w:instrText>
            </w:r>
            <w:r>
              <w:fldChar w:fldCharType="separate"/>
            </w:r>
            <w:r>
              <w:rPr>
                <w:rFonts w:ascii="宋体" w:hAnsi="宋体"/>
                <w:kern w:val="0"/>
                <w:sz w:val="21"/>
                <w:szCs w:val="21"/>
              </w:rPr>
              <w:t>现场急救</w:t>
            </w:r>
            <w:r>
              <w:rPr>
                <w:rFonts w:ascii="宋体" w:hAnsi="宋体"/>
                <w:kern w:val="0"/>
                <w:sz w:val="21"/>
                <w:szCs w:val="21"/>
              </w:rPr>
              <w:fldChar w:fldCharType="end"/>
            </w:r>
            <w:r>
              <w:rPr>
                <w:rFonts w:ascii="宋体" w:hAnsi="宋体"/>
                <w:kern w:val="0"/>
                <w:sz w:val="21"/>
                <w:szCs w:val="21"/>
              </w:rPr>
              <w:t>方法</w:t>
            </w:r>
            <w:r>
              <w:rPr>
                <w:rFonts w:hint="eastAsia" w:ascii="宋体" w:hAnsi="宋体"/>
                <w:kern w:val="0"/>
                <w:sz w:val="21"/>
                <w:szCs w:val="21"/>
              </w:rPr>
              <w:t>等知识</w:t>
            </w:r>
            <w:r>
              <w:rPr>
                <w:rFonts w:ascii="宋体" w:hAnsi="宋体"/>
                <w:kern w:val="0"/>
                <w:sz w:val="21"/>
                <w:szCs w:val="21"/>
              </w:rPr>
              <w:t>，学会识别安全事故，并有效预防安全事故的发生，当事故发生时，能</w:t>
            </w:r>
            <w:r>
              <w:rPr>
                <w:rFonts w:hint="eastAsia" w:ascii="宋体" w:hAnsi="宋体"/>
                <w:kern w:val="0"/>
                <w:sz w:val="21"/>
                <w:szCs w:val="21"/>
              </w:rPr>
              <w:t>正确</w:t>
            </w:r>
            <w:r>
              <w:rPr>
                <w:rFonts w:ascii="宋体" w:hAnsi="宋体"/>
                <w:kern w:val="0"/>
                <w:sz w:val="21"/>
                <w:szCs w:val="21"/>
              </w:rPr>
              <w:t>处置，</w:t>
            </w:r>
            <w:r>
              <w:rPr>
                <w:rFonts w:hint="eastAsia" w:ascii="宋体" w:hAnsi="宋体"/>
                <w:kern w:val="0"/>
                <w:sz w:val="21"/>
                <w:szCs w:val="21"/>
              </w:rPr>
              <w:t>把</w:t>
            </w:r>
            <w:r>
              <w:rPr>
                <w:rFonts w:ascii="宋体" w:hAnsi="宋体"/>
                <w:kern w:val="0"/>
                <w:sz w:val="21"/>
                <w:szCs w:val="21"/>
              </w:rPr>
              <w:t>损失降到最低。</w:t>
            </w:r>
          </w:p>
        </w:tc>
        <w:tc>
          <w:tcPr>
            <w:tcW w:w="851" w:type="dxa"/>
            <w:vAlign w:val="center"/>
          </w:tcPr>
          <w:p>
            <w:pPr>
              <w:spacing w:line="240" w:lineRule="auto"/>
              <w:ind w:firstLine="0" w:firstLineChars="0"/>
              <w:rPr>
                <w:rFonts w:ascii="宋体" w:hAnsi="宋体"/>
                <w:kern w:val="0"/>
                <w:sz w:val="21"/>
                <w:szCs w:val="21"/>
              </w:rPr>
            </w:pPr>
            <w:r>
              <w:rPr>
                <w:rFonts w:hint="eastAsia" w:ascii="宋体" w:hAnsi="宋体" w:cs="宋体"/>
                <w:kern w:val="1"/>
                <w:sz w:val="21"/>
                <w:szCs w:val="21"/>
              </w:rPr>
              <w:t>事故管理与应急处置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0"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3.通过本</w:t>
            </w:r>
            <w:r>
              <w:rPr>
                <w:rFonts w:ascii="宋体" w:hAnsi="宋体"/>
                <w:kern w:val="0"/>
                <w:sz w:val="21"/>
                <w:szCs w:val="21"/>
              </w:rPr>
              <w:t>课程的学习，使学生掌握燃烧和爆炸的基本原理，熟悉防火防爆技术与措施</w:t>
            </w:r>
            <w:r>
              <w:rPr>
                <w:rFonts w:hint="eastAsia" w:ascii="宋体" w:hAnsi="宋体"/>
                <w:kern w:val="0"/>
                <w:sz w:val="21"/>
                <w:szCs w:val="21"/>
              </w:rPr>
              <w:t>、</w:t>
            </w:r>
            <w:r>
              <w:rPr>
                <w:rFonts w:ascii="宋体" w:hAnsi="宋体"/>
                <w:kern w:val="0"/>
                <w:sz w:val="21"/>
                <w:szCs w:val="21"/>
              </w:rPr>
              <w:t>危险化学品和典型场所的防火防爆</w:t>
            </w:r>
            <w:r>
              <w:rPr>
                <w:rFonts w:hint="eastAsia" w:ascii="宋体" w:hAnsi="宋体"/>
                <w:kern w:val="0"/>
                <w:sz w:val="21"/>
                <w:szCs w:val="21"/>
              </w:rPr>
              <w:t>、</w:t>
            </w:r>
            <w:r>
              <w:rPr>
                <w:rFonts w:ascii="宋体" w:hAnsi="宋体"/>
                <w:kern w:val="0"/>
                <w:sz w:val="21"/>
                <w:szCs w:val="21"/>
              </w:rPr>
              <w:t>火灾与爆炸</w:t>
            </w:r>
            <w:r>
              <w:rPr>
                <w:rFonts w:hint="eastAsia" w:ascii="宋体" w:hAnsi="宋体"/>
                <w:kern w:val="0"/>
                <w:sz w:val="21"/>
                <w:szCs w:val="21"/>
              </w:rPr>
              <w:t>事故</w:t>
            </w:r>
            <w:r>
              <w:rPr>
                <w:rFonts w:ascii="宋体" w:hAnsi="宋体"/>
                <w:kern w:val="0"/>
                <w:sz w:val="21"/>
                <w:szCs w:val="21"/>
              </w:rPr>
              <w:t>管理和现场</w:t>
            </w:r>
            <w:r>
              <w:rPr>
                <w:rFonts w:hint="eastAsia" w:ascii="宋体" w:hAnsi="宋体"/>
                <w:kern w:val="0"/>
                <w:sz w:val="21"/>
                <w:szCs w:val="21"/>
              </w:rPr>
              <w:t>处置</w:t>
            </w:r>
            <w:r>
              <w:rPr>
                <w:rFonts w:ascii="宋体" w:hAnsi="宋体"/>
                <w:kern w:val="0"/>
                <w:sz w:val="21"/>
                <w:szCs w:val="21"/>
              </w:rPr>
              <w:t>的</w:t>
            </w:r>
            <w:r>
              <w:rPr>
                <w:rFonts w:hint="eastAsia" w:ascii="宋体" w:hAnsi="宋体"/>
                <w:kern w:val="0"/>
                <w:sz w:val="21"/>
                <w:szCs w:val="21"/>
              </w:rPr>
              <w:t>能力。</w:t>
            </w:r>
          </w:p>
        </w:tc>
        <w:tc>
          <w:tcPr>
            <w:tcW w:w="851" w:type="dxa"/>
            <w:vAlign w:val="center"/>
          </w:tcPr>
          <w:p>
            <w:pPr>
              <w:spacing w:line="240" w:lineRule="auto"/>
              <w:ind w:firstLine="0" w:firstLineChars="0"/>
              <w:rPr>
                <w:rFonts w:ascii="宋体" w:hAnsi="宋体" w:cs="宋体"/>
                <w:kern w:val="1"/>
                <w:sz w:val="21"/>
                <w:szCs w:val="21"/>
              </w:rPr>
            </w:pPr>
            <w:r>
              <w:rPr>
                <w:rFonts w:ascii="宋体" w:hAnsi="宋体" w:cs="宋体"/>
                <w:kern w:val="1"/>
                <w:sz w:val="21"/>
                <w:szCs w:val="21"/>
              </w:rPr>
              <w:t>防火防爆</w:t>
            </w:r>
            <w:r>
              <w:rPr>
                <w:rFonts w:hint="eastAsia" w:ascii="宋体" w:hAnsi="宋体" w:cs="宋体"/>
                <w:kern w:val="1"/>
                <w:sz w:val="21"/>
                <w:szCs w:val="21"/>
              </w:rPr>
              <w:t>技 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0"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4. 通过</w:t>
            </w:r>
            <w:r>
              <w:rPr>
                <w:rFonts w:ascii="宋体" w:hAnsi="宋体"/>
                <w:kern w:val="0"/>
                <w:sz w:val="21"/>
                <w:szCs w:val="21"/>
              </w:rPr>
              <w:t>本课程的学习，使学生了解供配电系统及建筑物</w:t>
            </w:r>
            <w:r>
              <w:rPr>
                <w:rFonts w:hint="eastAsia" w:ascii="宋体" w:hAnsi="宋体"/>
                <w:kern w:val="0"/>
                <w:sz w:val="21"/>
                <w:szCs w:val="21"/>
              </w:rPr>
              <w:t>内</w:t>
            </w:r>
            <w:r>
              <w:rPr>
                <w:rFonts w:ascii="宋体" w:hAnsi="宋体"/>
                <w:kern w:val="0"/>
                <w:sz w:val="21"/>
                <w:szCs w:val="21"/>
              </w:rPr>
              <w:t>电气危害产生的途径与种类，初步了解</w:t>
            </w:r>
            <w:r>
              <w:rPr>
                <w:rFonts w:hint="eastAsia" w:ascii="宋体" w:hAnsi="宋体"/>
                <w:kern w:val="0"/>
                <w:sz w:val="21"/>
                <w:szCs w:val="21"/>
              </w:rPr>
              <w:t>分析</w:t>
            </w:r>
            <w:r>
              <w:rPr>
                <w:rFonts w:ascii="宋体" w:hAnsi="宋体"/>
                <w:kern w:val="0"/>
                <w:sz w:val="21"/>
                <w:szCs w:val="21"/>
              </w:rPr>
              <w:t>电气危害的基本</w:t>
            </w:r>
            <w:r>
              <w:rPr>
                <w:rFonts w:hint="eastAsia" w:ascii="宋体" w:hAnsi="宋体"/>
                <w:kern w:val="0"/>
                <w:sz w:val="21"/>
                <w:szCs w:val="21"/>
              </w:rPr>
              <w:t>理论</w:t>
            </w:r>
            <w:r>
              <w:rPr>
                <w:rFonts w:ascii="宋体" w:hAnsi="宋体"/>
                <w:kern w:val="0"/>
                <w:sz w:val="21"/>
                <w:szCs w:val="21"/>
              </w:rPr>
              <w:t>，掌握电击防护、雷电防护、</w:t>
            </w:r>
            <w:r>
              <w:rPr>
                <w:rFonts w:hint="eastAsia" w:ascii="宋体" w:hAnsi="宋体"/>
                <w:kern w:val="0"/>
                <w:sz w:val="21"/>
                <w:szCs w:val="21"/>
              </w:rPr>
              <w:t>静电</w:t>
            </w:r>
            <w:r>
              <w:rPr>
                <w:rFonts w:ascii="宋体" w:hAnsi="宋体"/>
                <w:kern w:val="0"/>
                <w:sz w:val="21"/>
                <w:szCs w:val="21"/>
              </w:rPr>
              <w:t>防护的工程方法，建立电气安全的概念，为今后的学习和工作打下良好的基础。</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电气</w:t>
            </w:r>
            <w:r>
              <w:rPr>
                <w:rFonts w:ascii="宋体" w:hAnsi="宋体" w:cs="宋体"/>
                <w:kern w:val="1"/>
                <w:sz w:val="21"/>
                <w:szCs w:val="21"/>
              </w:rPr>
              <w:t>安全</w:t>
            </w:r>
            <w:r>
              <w:rPr>
                <w:rFonts w:hint="eastAsia" w:ascii="宋体" w:hAnsi="宋体" w:cs="宋体"/>
                <w:kern w:val="1"/>
                <w:sz w:val="21"/>
                <w:szCs w:val="21"/>
              </w:rPr>
              <w:t>技 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5.通过</w:t>
            </w:r>
            <w:r>
              <w:rPr>
                <w:rFonts w:ascii="宋体" w:hAnsi="宋体"/>
                <w:kern w:val="0"/>
                <w:sz w:val="21"/>
                <w:szCs w:val="21"/>
              </w:rPr>
              <w:t>职业病危害因素识别、评价与控制，不同行业作业场所的职业危害与特点，主要的职业卫生法律、法规和标准，用人单位职业卫生职责，国外职业卫生监督管理等知识</w:t>
            </w:r>
            <w:r>
              <w:rPr>
                <w:rFonts w:hint="eastAsia" w:ascii="宋体" w:hAnsi="宋体"/>
                <w:kern w:val="0"/>
                <w:sz w:val="21"/>
                <w:szCs w:val="21"/>
              </w:rPr>
              <w:t>的</w:t>
            </w:r>
            <w:r>
              <w:rPr>
                <w:rFonts w:ascii="宋体" w:hAnsi="宋体"/>
                <w:kern w:val="0"/>
                <w:sz w:val="21"/>
                <w:szCs w:val="21"/>
              </w:rPr>
              <w:t>学习，</w:t>
            </w:r>
            <w:r>
              <w:rPr>
                <w:rFonts w:hint="eastAsia" w:ascii="宋体" w:hAnsi="宋体"/>
                <w:kern w:val="0"/>
                <w:sz w:val="21"/>
                <w:szCs w:val="21"/>
              </w:rPr>
              <w:t>使</w:t>
            </w:r>
            <w:r>
              <w:rPr>
                <w:rFonts w:ascii="宋体" w:hAnsi="宋体"/>
                <w:kern w:val="0"/>
                <w:sz w:val="21"/>
                <w:szCs w:val="21"/>
              </w:rPr>
              <w:t>学生掌握一定的职业安全卫生知识，为今后从事相关工作打下基础。</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职业卫生</w:t>
            </w:r>
            <w:r>
              <w:rPr>
                <w:rFonts w:ascii="宋体" w:hAnsi="宋体" w:cs="宋体"/>
                <w:kern w:val="1"/>
                <w:sz w:val="21"/>
                <w:szCs w:val="21"/>
              </w:rPr>
              <w:t>基础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6.通过本次课程的</w:t>
            </w:r>
            <w:r>
              <w:rPr>
                <w:rFonts w:ascii="宋体" w:hAnsi="宋体"/>
                <w:kern w:val="0"/>
                <w:sz w:val="21"/>
                <w:szCs w:val="21"/>
              </w:rPr>
              <w:t>学习</w:t>
            </w:r>
            <w:r>
              <w:rPr>
                <w:rFonts w:hint="eastAsia" w:ascii="宋体" w:hAnsi="宋体"/>
                <w:kern w:val="0"/>
                <w:sz w:val="21"/>
                <w:szCs w:val="21"/>
              </w:rPr>
              <w:t>，使学生进一步巩固所学的安全系统工程基础知识和深入理解各种不同的系统安全分析方法，并能熟悉系统安全评价的基本步骤。学生应能运用所掌握的系统安全分析方法对实际工程中的不同生产系统进行安全分析和安全评价，并能针对所分析的实际系统提出有效的系统安全管理方法，从而提高自己运用安全系统工程的理论知识分析和解决实际问题的能力。</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安全</w:t>
            </w:r>
            <w:r>
              <w:rPr>
                <w:rFonts w:ascii="宋体" w:hAnsi="宋体" w:cs="宋体"/>
                <w:kern w:val="1"/>
                <w:sz w:val="21"/>
                <w:szCs w:val="21"/>
              </w:rPr>
              <w:t>评价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355"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7.通过本</w:t>
            </w:r>
            <w:r>
              <w:rPr>
                <w:rFonts w:ascii="宋体" w:hAnsi="宋体"/>
                <w:kern w:val="0"/>
                <w:sz w:val="21"/>
                <w:szCs w:val="21"/>
              </w:rPr>
              <w:t>课程的学习，</w:t>
            </w:r>
            <w:r>
              <w:rPr>
                <w:rFonts w:hint="eastAsia" w:ascii="宋体" w:hAnsi="宋体"/>
                <w:kern w:val="0"/>
                <w:sz w:val="21"/>
                <w:szCs w:val="21"/>
              </w:rPr>
              <w:t>培养学生具有监测监控基础理论知识，通晓煤矿生产安全监测与监控的基本原理；掌握煤矿生产中各种安全监测与监控设备的结构、原理、使用及维护，使学生具备独立安全监测与监控设备的选型设计、现场配置设计的</w:t>
            </w:r>
            <w:r>
              <w:rPr>
                <w:rFonts w:ascii="宋体" w:hAnsi="宋体"/>
                <w:kern w:val="0"/>
                <w:sz w:val="21"/>
                <w:szCs w:val="21"/>
              </w:rPr>
              <w:t>能力</w:t>
            </w:r>
            <w:r>
              <w:rPr>
                <w:rFonts w:hint="eastAsia" w:ascii="宋体" w:hAnsi="宋体"/>
                <w:kern w:val="0"/>
                <w:sz w:val="21"/>
                <w:szCs w:val="21"/>
              </w:rPr>
              <w:t>。</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安全</w:t>
            </w:r>
            <w:r>
              <w:rPr>
                <w:rFonts w:ascii="宋体" w:hAnsi="宋体" w:cs="宋体"/>
                <w:kern w:val="1"/>
                <w:sz w:val="21"/>
                <w:szCs w:val="21"/>
              </w:rPr>
              <w:t>监测与监控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8.通过本</w:t>
            </w:r>
            <w:r>
              <w:rPr>
                <w:rFonts w:ascii="宋体" w:hAnsi="宋体"/>
                <w:kern w:val="0"/>
                <w:sz w:val="21"/>
                <w:szCs w:val="21"/>
              </w:rPr>
              <w:t>课程的学习，使学生了解安全生产法律基础知识、安全生产立法的必要性及其重要意义、我国安全生产法律体系的基本框架，重点掌握安全生产法、矿山安全法、消防法、道路交通安全法、行政处罚法、劳动法、职业病防治法及与安全生产相关的行政法规，为学生以后从事安全生产管理和行政执法奠定良好的法律基础。</w:t>
            </w:r>
          </w:p>
        </w:tc>
        <w:tc>
          <w:tcPr>
            <w:tcW w:w="851" w:type="dxa"/>
            <w:vAlign w:val="center"/>
          </w:tcPr>
          <w:p>
            <w:pPr>
              <w:spacing w:line="240" w:lineRule="auto"/>
              <w:ind w:firstLine="0" w:firstLineChars="0"/>
              <w:rPr>
                <w:rFonts w:ascii="宋体" w:hAnsi="宋体"/>
                <w:kern w:val="0"/>
                <w:sz w:val="21"/>
                <w:szCs w:val="21"/>
              </w:rPr>
            </w:pPr>
            <w:r>
              <w:rPr>
                <w:rFonts w:hint="eastAsia" w:ascii="宋体" w:hAnsi="宋体" w:cs="宋体"/>
                <w:kern w:val="1"/>
                <w:sz w:val="21"/>
                <w:szCs w:val="21"/>
              </w:rPr>
              <w:t>安全</w:t>
            </w:r>
            <w:r>
              <w:rPr>
                <w:rFonts w:ascii="宋体" w:hAnsi="宋体" w:cs="宋体"/>
                <w:kern w:val="1"/>
                <w:sz w:val="21"/>
                <w:szCs w:val="21"/>
              </w:rPr>
              <w:t>法规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515"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9.通过本课程的学习，使学生在学习了工程管理专业所必须的技术、经济、管理等相关专业基础课程的基础上，掌握工程项目管理的基本理论和工程项目投资控制、进度控制、质量控制的基本方法，熟悉各种具体的项目管理技术、方法在工程项目上的应用特点，为学生建立管理工程项目所需的知识、技术和方法体系，培养学生发现、分析、研究、解决工程项目管理实际问题的基本能力。</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工程</w:t>
            </w:r>
            <w:r>
              <w:rPr>
                <w:rFonts w:ascii="宋体" w:hAnsi="宋体" w:cs="宋体"/>
                <w:kern w:val="1"/>
                <w:sz w:val="21"/>
                <w:szCs w:val="21"/>
              </w:rPr>
              <w:t>项目管理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515"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6"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10. 通过本课程的学习，使学生了解</w:t>
            </w:r>
            <w:r>
              <w:rPr>
                <w:rFonts w:ascii="宋体" w:hAnsi="宋体"/>
                <w:kern w:val="0"/>
                <w:sz w:val="21"/>
                <w:szCs w:val="21"/>
              </w:rPr>
              <w:t>和掌握</w:t>
            </w:r>
            <w:r>
              <w:rPr>
                <w:rFonts w:hint="eastAsia" w:ascii="宋体" w:hAnsi="宋体"/>
                <w:kern w:val="0"/>
                <w:sz w:val="21"/>
                <w:szCs w:val="21"/>
              </w:rPr>
              <w:t>高危行业的生产“必须安全第一”</w:t>
            </w:r>
            <w:r>
              <w:rPr>
                <w:rFonts w:ascii="宋体" w:hAnsi="宋体"/>
                <w:kern w:val="0"/>
                <w:sz w:val="21"/>
                <w:szCs w:val="21"/>
              </w:rPr>
              <w:t>的重要性</w:t>
            </w:r>
            <w:r>
              <w:rPr>
                <w:rFonts w:hint="eastAsia" w:ascii="宋体" w:hAnsi="宋体"/>
                <w:kern w:val="0"/>
                <w:sz w:val="21"/>
                <w:szCs w:val="21"/>
              </w:rPr>
              <w:t>，理解“安全为了生产，生产必须安全”，掌握科学安全生产管理以及加强安全设施建设的</w:t>
            </w:r>
            <w:r>
              <w:rPr>
                <w:rFonts w:ascii="宋体" w:hAnsi="宋体"/>
                <w:kern w:val="0"/>
                <w:sz w:val="21"/>
                <w:szCs w:val="21"/>
              </w:rPr>
              <w:t>意义</w:t>
            </w:r>
            <w:r>
              <w:rPr>
                <w:rFonts w:hint="eastAsia" w:ascii="宋体" w:hAnsi="宋体"/>
                <w:kern w:val="0"/>
                <w:sz w:val="21"/>
                <w:szCs w:val="21"/>
              </w:rPr>
              <w:t>。</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高危行</w:t>
            </w:r>
            <w:r>
              <w:rPr>
                <w:rFonts w:ascii="宋体" w:hAnsi="宋体" w:cs="宋体"/>
                <w:kern w:val="1"/>
                <w:sz w:val="21"/>
                <w:szCs w:val="21"/>
              </w:rPr>
              <w:t>业安全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restart"/>
            <w:tcBorders>
              <w:top w:val="single" w:color="auto" w:sz="6" w:space="0"/>
              <w:bottom w:val="single" w:color="auto" w:sz="12" w:space="0"/>
            </w:tcBorders>
            <w:vAlign w:val="center"/>
          </w:tcPr>
          <w:p>
            <w:pPr>
              <w:ind w:firstLine="0" w:firstLineChars="0"/>
            </w:pPr>
            <w:r>
              <w:rPr>
                <w:rFonts w:hint="eastAsia"/>
              </w:rPr>
              <w:t>2</w:t>
            </w:r>
            <w:r>
              <w:t>.</w:t>
            </w:r>
            <w:r>
              <w:rPr>
                <w:rFonts w:hint="eastAsia"/>
              </w:rPr>
              <w:t>综合</w:t>
            </w:r>
          </w:p>
          <w:p>
            <w:pPr>
              <w:ind w:firstLine="0" w:firstLineChars="0"/>
            </w:pPr>
            <w:r>
              <w:t>实践</w:t>
            </w:r>
          </w:p>
        </w:tc>
        <w:tc>
          <w:tcPr>
            <w:tcW w:w="5794" w:type="dxa"/>
            <w:vAlign w:val="center"/>
          </w:tcPr>
          <w:p>
            <w:pPr>
              <w:ind w:firstLine="420"/>
              <w:rPr>
                <w:rFonts w:ascii="宋体" w:hAnsi="宋体"/>
                <w:kern w:val="0"/>
                <w:sz w:val="21"/>
                <w:szCs w:val="21"/>
              </w:rPr>
            </w:pPr>
            <w:r>
              <w:rPr>
                <w:rFonts w:hint="eastAsia" w:ascii="宋体" w:hAnsi="宋体"/>
                <w:kern w:val="0"/>
                <w:sz w:val="21"/>
                <w:szCs w:val="21"/>
              </w:rPr>
              <w:t>1. 让学生进一步巩固和加深理解所学的专业理论知识，开阔视野、扩大学生的知识面，并使学生具有综合运用所学的专业知识，独立完成职业岗位工作及解决工程实际问题的能力，为毕业后提升职业岗位能力创造条件</w:t>
            </w:r>
            <w:r>
              <w:rPr>
                <w:rFonts w:ascii="宋体" w:hAnsi="宋体"/>
                <w:kern w:val="0"/>
                <w:sz w:val="21"/>
                <w:szCs w:val="21"/>
              </w:rPr>
              <w:t>。</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毕业实 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numPr>
                <w:ilvl w:val="0"/>
                <w:numId w:val="4"/>
              </w:numPr>
              <w:spacing w:line="240" w:lineRule="auto"/>
              <w:ind w:firstLineChars="0"/>
            </w:pPr>
          </w:p>
        </w:tc>
        <w:tc>
          <w:tcPr>
            <w:tcW w:w="5794" w:type="dxa"/>
            <w:vAlign w:val="center"/>
          </w:tcPr>
          <w:p>
            <w:pPr>
              <w:ind w:firstLine="420"/>
              <w:rPr>
                <w:rFonts w:ascii="宋体" w:hAnsi="宋体"/>
                <w:kern w:val="0"/>
                <w:sz w:val="21"/>
                <w:szCs w:val="21"/>
              </w:rPr>
            </w:pPr>
            <w:r>
              <w:rPr>
                <w:rFonts w:ascii="宋体" w:hAnsi="宋体"/>
                <w:kern w:val="0"/>
                <w:sz w:val="21"/>
                <w:szCs w:val="21"/>
              </w:rPr>
              <w:t xml:space="preserve">2. </w:t>
            </w:r>
            <w:r>
              <w:rPr>
                <w:rFonts w:hint="eastAsia" w:ascii="宋体" w:hAnsi="宋体"/>
                <w:kern w:val="0"/>
                <w:sz w:val="21"/>
                <w:szCs w:val="21"/>
              </w:rPr>
              <w:t>本课程设计的目的主要是为了掌握管道摩擦阻力、局部阻力计算，管道压力分布分析计算、管道尺寸计算的约束条件、设计计算方法、均匀送风管道的计算，要求学生认真、细致、熟练掌握通风除尘系统的设计计算方法。</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工业通风除尘课程设 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numPr>
                <w:ilvl w:val="0"/>
                <w:numId w:val="4"/>
              </w:numPr>
              <w:spacing w:line="240" w:lineRule="auto"/>
              <w:ind w:firstLineChars="0"/>
            </w:pPr>
          </w:p>
        </w:tc>
        <w:tc>
          <w:tcPr>
            <w:tcW w:w="5794" w:type="dxa"/>
            <w:vAlign w:val="center"/>
          </w:tcPr>
          <w:p>
            <w:pPr>
              <w:ind w:firstLine="420"/>
              <w:rPr>
                <w:rFonts w:ascii="宋体" w:hAnsi="宋体"/>
                <w:kern w:val="0"/>
                <w:sz w:val="21"/>
                <w:szCs w:val="21"/>
              </w:rPr>
            </w:pPr>
            <w:r>
              <w:rPr>
                <w:rFonts w:ascii="宋体" w:hAnsi="宋体"/>
                <w:kern w:val="0"/>
                <w:sz w:val="21"/>
                <w:szCs w:val="21"/>
              </w:rPr>
              <w:t xml:space="preserve">3. </w:t>
            </w:r>
            <w:r>
              <w:rPr>
                <w:rFonts w:hint="eastAsia" w:ascii="宋体" w:hAnsi="宋体"/>
                <w:kern w:val="0"/>
                <w:sz w:val="21"/>
                <w:szCs w:val="21"/>
              </w:rPr>
              <w:t>通过本课程</w:t>
            </w:r>
            <w:r>
              <w:rPr>
                <w:rFonts w:ascii="宋体" w:hAnsi="宋体"/>
                <w:kern w:val="0"/>
                <w:sz w:val="21"/>
                <w:szCs w:val="21"/>
              </w:rPr>
              <w:t>的学习，使</w:t>
            </w:r>
            <w:r>
              <w:rPr>
                <w:rFonts w:hint="eastAsia" w:ascii="宋体" w:hAnsi="宋体"/>
                <w:kern w:val="0"/>
                <w:sz w:val="21"/>
                <w:szCs w:val="21"/>
              </w:rPr>
              <w:t>学生能够运用各种火灾探测器、控制器的知识，完成火灾消防监控系统中监测系统、灭火系统、消防电话系统、消防广播系统等各分系统的设计，以便进一步理解火灾探测与控制的基本原理，了解火灾监测监控系统设计的步骤和方法，培养学生初步设计小型火灾监测监控系统方案的能力。</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防火防爆课程设 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numPr>
                <w:ilvl w:val="0"/>
                <w:numId w:val="4"/>
              </w:numPr>
              <w:spacing w:line="240" w:lineRule="auto"/>
              <w:ind w:firstLineChars="0"/>
            </w:pPr>
          </w:p>
        </w:tc>
        <w:tc>
          <w:tcPr>
            <w:tcW w:w="5794" w:type="dxa"/>
            <w:vAlign w:val="center"/>
          </w:tcPr>
          <w:p>
            <w:pPr>
              <w:ind w:firstLine="420"/>
              <w:rPr>
                <w:rFonts w:ascii="宋体" w:hAnsi="宋体"/>
                <w:kern w:val="0"/>
                <w:sz w:val="21"/>
                <w:szCs w:val="21"/>
              </w:rPr>
            </w:pPr>
            <w:r>
              <w:rPr>
                <w:rFonts w:ascii="宋体" w:hAnsi="宋体"/>
                <w:kern w:val="0"/>
                <w:sz w:val="21"/>
                <w:szCs w:val="21"/>
              </w:rPr>
              <w:t xml:space="preserve">4. </w:t>
            </w:r>
            <w:r>
              <w:rPr>
                <w:rFonts w:hint="eastAsia" w:ascii="宋体" w:hAnsi="宋体"/>
                <w:kern w:val="0"/>
                <w:sz w:val="21"/>
                <w:szCs w:val="21"/>
              </w:rPr>
              <w:t>通过</w:t>
            </w:r>
            <w:r>
              <w:rPr>
                <w:rFonts w:ascii="宋体" w:hAnsi="宋体"/>
                <w:kern w:val="0"/>
                <w:sz w:val="21"/>
                <w:szCs w:val="21"/>
              </w:rPr>
              <w:t>本课程的学习，使学生了解安全评价原理、方法和编写安全</w:t>
            </w:r>
            <w:r>
              <w:rPr>
                <w:rFonts w:hint="eastAsia" w:ascii="宋体" w:hAnsi="宋体"/>
                <w:kern w:val="0"/>
                <w:sz w:val="21"/>
                <w:szCs w:val="21"/>
              </w:rPr>
              <w:t>评价</w:t>
            </w:r>
            <w:r>
              <w:rPr>
                <w:rFonts w:ascii="宋体" w:hAnsi="宋体"/>
                <w:kern w:val="0"/>
                <w:sz w:val="21"/>
                <w:szCs w:val="21"/>
              </w:rPr>
              <w:t>报告的内容</w:t>
            </w:r>
            <w:r>
              <w:rPr>
                <w:rFonts w:hint="eastAsia" w:ascii="宋体" w:hAnsi="宋体"/>
                <w:kern w:val="0"/>
                <w:sz w:val="21"/>
                <w:szCs w:val="21"/>
              </w:rPr>
              <w:t>、</w:t>
            </w:r>
            <w:r>
              <w:rPr>
                <w:rFonts w:ascii="宋体" w:hAnsi="宋体"/>
                <w:kern w:val="0"/>
                <w:sz w:val="21"/>
                <w:szCs w:val="21"/>
              </w:rPr>
              <w:t>要求</w:t>
            </w:r>
            <w:r>
              <w:rPr>
                <w:rFonts w:hint="eastAsia" w:ascii="宋体" w:hAnsi="宋体"/>
                <w:kern w:val="0"/>
                <w:sz w:val="21"/>
                <w:szCs w:val="21"/>
              </w:rPr>
              <w:t>，</w:t>
            </w:r>
            <w:r>
              <w:rPr>
                <w:rFonts w:ascii="宋体" w:hAnsi="宋体"/>
                <w:kern w:val="0"/>
                <w:sz w:val="21"/>
                <w:szCs w:val="21"/>
              </w:rPr>
              <w:t>并能用安全评价知识解决安全生产实际问题</w:t>
            </w:r>
            <w:r>
              <w:rPr>
                <w:rFonts w:hint="eastAsia" w:ascii="宋体" w:hAnsi="宋体"/>
                <w:kern w:val="0"/>
                <w:sz w:val="21"/>
                <w:szCs w:val="21"/>
              </w:rPr>
              <w:t>。</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安全</w:t>
            </w:r>
            <w:r>
              <w:rPr>
                <w:rFonts w:ascii="宋体" w:hAnsi="宋体" w:cs="宋体"/>
                <w:kern w:val="1"/>
                <w:sz w:val="21"/>
                <w:szCs w:val="21"/>
              </w:rPr>
              <w:t>评价课程设计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355"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6"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hint="eastAsia" w:ascii="宋体" w:hAnsi="宋体"/>
                <w:kern w:val="0"/>
                <w:sz w:val="21"/>
                <w:szCs w:val="21"/>
              </w:rPr>
              <w:t>5.通过本</w:t>
            </w:r>
            <w:r>
              <w:rPr>
                <w:rFonts w:ascii="宋体" w:hAnsi="宋体"/>
                <w:kern w:val="0"/>
                <w:sz w:val="21"/>
                <w:szCs w:val="21"/>
              </w:rPr>
              <w:t>课程</w:t>
            </w:r>
            <w:r>
              <w:rPr>
                <w:rFonts w:hint="eastAsia" w:ascii="宋体" w:hAnsi="宋体"/>
                <w:kern w:val="0"/>
                <w:sz w:val="21"/>
                <w:szCs w:val="21"/>
              </w:rPr>
              <w:t>的</w:t>
            </w:r>
            <w:r>
              <w:rPr>
                <w:rFonts w:ascii="宋体" w:hAnsi="宋体"/>
                <w:kern w:val="0"/>
                <w:sz w:val="21"/>
                <w:szCs w:val="21"/>
              </w:rPr>
              <w:t>学习，</w:t>
            </w:r>
            <w:r>
              <w:rPr>
                <w:rFonts w:hint="eastAsia" w:ascii="宋体" w:hAnsi="宋体"/>
                <w:kern w:val="0"/>
                <w:sz w:val="21"/>
                <w:szCs w:val="21"/>
              </w:rPr>
              <w:t>使</w:t>
            </w:r>
            <w:r>
              <w:rPr>
                <w:rFonts w:ascii="宋体" w:hAnsi="宋体"/>
                <w:kern w:val="0"/>
                <w:sz w:val="21"/>
                <w:szCs w:val="21"/>
              </w:rPr>
              <w:t>学生了解</w:t>
            </w:r>
            <w:r>
              <w:rPr>
                <w:rFonts w:hint="eastAsia" w:ascii="宋体" w:hAnsi="宋体"/>
                <w:kern w:val="0"/>
                <w:sz w:val="21"/>
                <w:szCs w:val="21"/>
              </w:rPr>
              <w:t>环境监测、健康监护、实验室测试等手段，对危害因素的潜在作用进行定性和定量的鉴定和评价，推断它在多大剂量（浓度）和何种条件下可能构成损害；探讨其损害性质；并估测其在一般接触条件下可能造成损害的程度和概率。</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职业危害因素分析与评价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88"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restart"/>
            <w:tcBorders>
              <w:top w:val="single" w:color="auto" w:sz="6" w:space="0"/>
              <w:bottom w:val="single" w:color="auto" w:sz="12" w:space="0"/>
            </w:tcBorders>
            <w:vAlign w:val="center"/>
          </w:tcPr>
          <w:p>
            <w:pPr>
              <w:ind w:firstLine="0" w:firstLineChars="0"/>
            </w:pPr>
            <w:r>
              <w:rPr>
                <w:rFonts w:hint="eastAsia"/>
              </w:rPr>
              <w:t>3</w:t>
            </w:r>
            <w:r>
              <w:t>.</w:t>
            </w:r>
            <w:r>
              <w:rPr>
                <w:rFonts w:hint="eastAsia"/>
              </w:rPr>
              <w:t>特色</w:t>
            </w:r>
          </w:p>
          <w:p>
            <w:pPr>
              <w:ind w:firstLine="0" w:firstLineChars="0"/>
            </w:pPr>
            <w:r>
              <w:t>课</w:t>
            </w:r>
          </w:p>
        </w:tc>
        <w:tc>
          <w:tcPr>
            <w:tcW w:w="5794" w:type="dxa"/>
            <w:vAlign w:val="center"/>
          </w:tcPr>
          <w:p>
            <w:pPr>
              <w:ind w:firstLine="420"/>
              <w:rPr>
                <w:rFonts w:ascii="宋体" w:hAnsi="宋体"/>
                <w:kern w:val="0"/>
                <w:sz w:val="21"/>
                <w:szCs w:val="21"/>
              </w:rPr>
            </w:pPr>
            <w:r>
              <w:rPr>
                <w:rFonts w:ascii="宋体" w:hAnsi="宋体"/>
                <w:kern w:val="0"/>
                <w:sz w:val="21"/>
                <w:szCs w:val="21"/>
              </w:rPr>
              <w:t>1. 通过</w:t>
            </w:r>
            <w:r>
              <w:rPr>
                <w:rFonts w:hint="eastAsia" w:ascii="宋体" w:hAnsi="宋体"/>
                <w:kern w:val="0"/>
                <w:sz w:val="21"/>
                <w:szCs w:val="21"/>
              </w:rPr>
              <w:t>学习</w:t>
            </w:r>
            <w:r>
              <w:rPr>
                <w:rFonts w:ascii="宋体" w:hAnsi="宋体"/>
                <w:kern w:val="0"/>
                <w:sz w:val="21"/>
                <w:szCs w:val="21"/>
              </w:rPr>
              <w:t>，使</w:t>
            </w:r>
            <w:r>
              <w:rPr>
                <w:rFonts w:hint="eastAsia" w:ascii="宋体" w:hAnsi="宋体"/>
                <w:kern w:val="0"/>
                <w:sz w:val="21"/>
                <w:szCs w:val="21"/>
              </w:rPr>
              <w:t>学生</w:t>
            </w:r>
            <w:r>
              <w:rPr>
                <w:rFonts w:ascii="宋体" w:hAnsi="宋体"/>
                <w:kern w:val="0"/>
                <w:sz w:val="21"/>
                <w:szCs w:val="21"/>
              </w:rPr>
              <w:t>熟悉消防安全的有关法律、法规、规章，知晓消防工作组织领导、安全监管、消防设施建设、社会消防力量建设、消防经费保障、检查考评等责任，掌握消防安全基础知识、社会消防安全管理要求，提高消防工作管理能力。</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消防</w:t>
            </w:r>
            <w:r>
              <w:rPr>
                <w:rFonts w:ascii="宋体" w:hAnsi="宋体" w:cs="宋体"/>
                <w:kern w:val="1"/>
                <w:sz w:val="21"/>
                <w:szCs w:val="21"/>
              </w:rPr>
              <w:t>安全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88"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12" w:space="0"/>
            </w:tcBorders>
            <w:vAlign w:val="center"/>
          </w:tcPr>
          <w:p>
            <w:pPr>
              <w:ind w:firstLine="0" w:firstLineChars="0"/>
            </w:pPr>
          </w:p>
        </w:tc>
        <w:tc>
          <w:tcPr>
            <w:tcW w:w="1025" w:type="dxa"/>
            <w:vMerge w:val="continue"/>
            <w:tcBorders>
              <w:top w:val="single" w:color="auto" w:sz="12" w:space="0"/>
              <w:bottom w:val="single" w:color="auto" w:sz="12" w:space="0"/>
            </w:tcBorders>
            <w:vAlign w:val="center"/>
          </w:tcPr>
          <w:p>
            <w:pPr>
              <w:numPr>
                <w:ilvl w:val="0"/>
                <w:numId w:val="4"/>
              </w:numPr>
              <w:spacing w:line="240" w:lineRule="auto"/>
              <w:ind w:firstLineChars="0"/>
            </w:pPr>
          </w:p>
        </w:tc>
        <w:tc>
          <w:tcPr>
            <w:tcW w:w="5794" w:type="dxa"/>
            <w:vAlign w:val="center"/>
          </w:tcPr>
          <w:p>
            <w:pPr>
              <w:ind w:firstLine="420"/>
              <w:rPr>
                <w:rFonts w:ascii="宋体" w:hAnsi="宋体"/>
                <w:kern w:val="0"/>
                <w:sz w:val="21"/>
                <w:szCs w:val="21"/>
              </w:rPr>
            </w:pPr>
            <w:r>
              <w:rPr>
                <w:rFonts w:ascii="宋体" w:hAnsi="宋体"/>
                <w:kern w:val="0"/>
                <w:sz w:val="21"/>
                <w:szCs w:val="21"/>
              </w:rPr>
              <w:t xml:space="preserve">2. </w:t>
            </w:r>
            <w:r>
              <w:rPr>
                <w:rFonts w:hint="eastAsia" w:ascii="宋体" w:hAnsi="宋体"/>
                <w:kern w:val="0"/>
                <w:sz w:val="21"/>
                <w:szCs w:val="21"/>
              </w:rPr>
              <w:t>通过本课程</w:t>
            </w:r>
            <w:r>
              <w:rPr>
                <w:rFonts w:ascii="宋体" w:hAnsi="宋体"/>
                <w:kern w:val="0"/>
                <w:sz w:val="21"/>
                <w:szCs w:val="21"/>
              </w:rPr>
              <w:t>的学习，使学生在掌握</w:t>
            </w:r>
            <w:r>
              <w:rPr>
                <w:rFonts w:hint="eastAsia" w:ascii="宋体" w:hAnsi="宋体"/>
                <w:kern w:val="0"/>
                <w:sz w:val="21"/>
                <w:szCs w:val="21"/>
              </w:rPr>
              <w:t>了</w:t>
            </w:r>
            <w:r>
              <w:rPr>
                <w:rFonts w:ascii="宋体" w:hAnsi="宋体"/>
                <w:kern w:val="0"/>
                <w:sz w:val="21"/>
                <w:szCs w:val="21"/>
              </w:rPr>
              <w:t>安全学原理及了解建筑施工各分部分项工程的基础上，能较好</w:t>
            </w:r>
            <w:r>
              <w:rPr>
                <w:rFonts w:hint="eastAsia" w:ascii="宋体" w:hAnsi="宋体"/>
                <w:kern w:val="0"/>
                <w:sz w:val="21"/>
                <w:szCs w:val="21"/>
              </w:rPr>
              <w:t>地</w:t>
            </w:r>
            <w:r>
              <w:rPr>
                <w:rFonts w:ascii="宋体" w:hAnsi="宋体"/>
                <w:kern w:val="0"/>
                <w:sz w:val="21"/>
                <w:szCs w:val="21"/>
              </w:rPr>
              <w:t>掌握或懂得施工过程中的安全技术和安全管理方法。</w:t>
            </w:r>
          </w:p>
        </w:tc>
        <w:tc>
          <w:tcPr>
            <w:tcW w:w="851" w:type="dxa"/>
            <w:vAlign w:val="center"/>
          </w:tcPr>
          <w:p>
            <w:pPr>
              <w:spacing w:line="240" w:lineRule="auto"/>
              <w:ind w:firstLine="0" w:firstLineChars="0"/>
              <w:rPr>
                <w:rFonts w:ascii="宋体" w:hAnsi="宋体" w:cs="宋体"/>
                <w:kern w:val="1"/>
                <w:sz w:val="21"/>
                <w:szCs w:val="21"/>
              </w:rPr>
            </w:pPr>
            <w:r>
              <w:rPr>
                <w:rFonts w:ascii="宋体" w:hAnsi="宋体" w:cs="宋体"/>
                <w:kern w:val="1"/>
                <w:sz w:val="21"/>
                <w:szCs w:val="21"/>
              </w:rPr>
              <w:t>建筑施工安全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70" w:hRule="atLeast"/>
        </w:trPr>
        <w:tc>
          <w:tcPr>
            <w:tcW w:w="993" w:type="dxa"/>
            <w:vMerge w:val="continue"/>
            <w:vAlign w:val="center"/>
          </w:tcPr>
          <w:p>
            <w:pPr>
              <w:ind w:firstLine="0" w:firstLineChars="0"/>
            </w:pPr>
          </w:p>
        </w:tc>
        <w:tc>
          <w:tcPr>
            <w:tcW w:w="708" w:type="dxa"/>
            <w:vMerge w:val="continue"/>
            <w:tcBorders>
              <w:top w:val="single" w:color="auto" w:sz="12" w:space="0"/>
              <w:bottom w:val="single" w:color="auto" w:sz="6" w:space="0"/>
            </w:tcBorders>
            <w:vAlign w:val="center"/>
          </w:tcPr>
          <w:p>
            <w:pPr>
              <w:ind w:firstLine="0" w:firstLineChars="0"/>
            </w:pPr>
          </w:p>
        </w:tc>
        <w:tc>
          <w:tcPr>
            <w:tcW w:w="1025" w:type="dxa"/>
            <w:vMerge w:val="continue"/>
            <w:tcBorders>
              <w:top w:val="single" w:color="auto" w:sz="12" w:space="0"/>
              <w:bottom w:val="single" w:color="auto" w:sz="6" w:space="0"/>
            </w:tcBorders>
            <w:vAlign w:val="center"/>
          </w:tcPr>
          <w:p>
            <w:pPr>
              <w:ind w:firstLine="0" w:firstLineChars="0"/>
            </w:pPr>
          </w:p>
        </w:tc>
        <w:tc>
          <w:tcPr>
            <w:tcW w:w="5794" w:type="dxa"/>
            <w:vAlign w:val="center"/>
          </w:tcPr>
          <w:p>
            <w:pPr>
              <w:ind w:firstLine="420"/>
              <w:rPr>
                <w:rFonts w:ascii="宋体" w:hAnsi="宋体"/>
                <w:kern w:val="0"/>
                <w:sz w:val="21"/>
                <w:szCs w:val="21"/>
              </w:rPr>
            </w:pPr>
            <w:r>
              <w:rPr>
                <w:rFonts w:ascii="宋体" w:hAnsi="宋体"/>
                <w:kern w:val="0"/>
                <w:sz w:val="21"/>
                <w:szCs w:val="21"/>
              </w:rPr>
              <w:t xml:space="preserve">3. </w:t>
            </w:r>
            <w:r>
              <w:rPr>
                <w:rFonts w:hint="eastAsia" w:ascii="宋体" w:hAnsi="宋体"/>
                <w:kern w:val="0"/>
                <w:sz w:val="21"/>
                <w:szCs w:val="21"/>
              </w:rPr>
              <w:t>通过</w:t>
            </w:r>
            <w:r>
              <w:rPr>
                <w:rFonts w:ascii="宋体" w:hAnsi="宋体"/>
                <w:kern w:val="0"/>
                <w:sz w:val="21"/>
                <w:szCs w:val="21"/>
              </w:rPr>
              <w:t>本课程的学习</w:t>
            </w:r>
            <w:r>
              <w:rPr>
                <w:rFonts w:hint="eastAsia" w:ascii="宋体" w:hAnsi="宋体"/>
                <w:kern w:val="0"/>
                <w:sz w:val="21"/>
                <w:szCs w:val="21"/>
              </w:rPr>
              <w:t>，</w:t>
            </w:r>
            <w:r>
              <w:rPr>
                <w:rFonts w:ascii="宋体" w:hAnsi="宋体"/>
                <w:kern w:val="0"/>
                <w:sz w:val="21"/>
                <w:szCs w:val="21"/>
              </w:rPr>
              <w:t>提高安全从业人员的业务与技术能力以及职业素养，具备安全战略设计的能力</w:t>
            </w:r>
            <w:r>
              <w:rPr>
                <w:rFonts w:hint="eastAsia" w:ascii="宋体" w:hAnsi="宋体"/>
                <w:kern w:val="0"/>
                <w:sz w:val="21"/>
                <w:szCs w:val="21"/>
              </w:rPr>
              <w:t>，</w:t>
            </w:r>
            <w:r>
              <w:rPr>
                <w:rFonts w:ascii="宋体" w:hAnsi="宋体"/>
                <w:kern w:val="0"/>
                <w:sz w:val="21"/>
                <w:szCs w:val="21"/>
              </w:rPr>
              <w:t>提高</w:t>
            </w:r>
            <w:r>
              <w:rPr>
                <w:rFonts w:hint="eastAsia" w:ascii="宋体" w:hAnsi="宋体"/>
                <w:kern w:val="0"/>
                <w:sz w:val="21"/>
                <w:szCs w:val="21"/>
              </w:rPr>
              <w:t>学生</w:t>
            </w:r>
            <w:r>
              <w:rPr>
                <w:rFonts w:ascii="宋体" w:hAnsi="宋体"/>
                <w:kern w:val="0"/>
                <w:sz w:val="21"/>
                <w:szCs w:val="21"/>
              </w:rPr>
              <w:t>对安全生产重要性的认识</w:t>
            </w:r>
            <w:r>
              <w:rPr>
                <w:rFonts w:hint="eastAsia" w:ascii="宋体" w:hAnsi="宋体"/>
                <w:kern w:val="0"/>
                <w:sz w:val="21"/>
                <w:szCs w:val="21"/>
              </w:rPr>
              <w:t>，</w:t>
            </w:r>
            <w:r>
              <w:rPr>
                <w:rFonts w:ascii="宋体" w:hAnsi="宋体"/>
                <w:kern w:val="0"/>
                <w:sz w:val="21"/>
                <w:szCs w:val="21"/>
              </w:rPr>
              <w:t>增强安全生产的责任感。</w:t>
            </w:r>
          </w:p>
        </w:tc>
        <w:tc>
          <w:tcPr>
            <w:tcW w:w="851" w:type="dxa"/>
            <w:vAlign w:val="center"/>
          </w:tcPr>
          <w:p>
            <w:pPr>
              <w:spacing w:line="240" w:lineRule="auto"/>
              <w:ind w:firstLine="0" w:firstLineChars="0"/>
              <w:rPr>
                <w:rFonts w:ascii="宋体" w:hAnsi="宋体" w:cs="宋体"/>
                <w:kern w:val="1"/>
                <w:sz w:val="21"/>
                <w:szCs w:val="21"/>
              </w:rPr>
            </w:pPr>
            <w:r>
              <w:rPr>
                <w:rFonts w:hint="eastAsia" w:ascii="宋体" w:hAnsi="宋体" w:cs="宋体"/>
                <w:kern w:val="1"/>
                <w:sz w:val="21"/>
                <w:szCs w:val="21"/>
              </w:rPr>
              <w:t>安全工程师培训</w:t>
            </w:r>
            <w:r>
              <w:rPr>
                <w:rFonts w:ascii="宋体" w:hAnsi="宋体" w:cs="宋体"/>
                <w:kern w:val="1"/>
                <w:sz w:val="21"/>
                <w:szCs w:val="21"/>
              </w:rPr>
              <w:t>课程</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242" w:hRule="atLeast"/>
        </w:trPr>
        <w:tc>
          <w:tcPr>
            <w:tcW w:w="993" w:type="dxa"/>
            <w:vMerge w:val="restart"/>
            <w:vAlign w:val="center"/>
          </w:tcPr>
          <w:p>
            <w:pPr>
              <w:ind w:firstLine="0" w:firstLineChars="0"/>
              <w:rPr>
                <w:b/>
              </w:rPr>
            </w:pPr>
            <w:r>
              <w:rPr>
                <w:rFonts w:hint="eastAsia"/>
                <w:b/>
              </w:rPr>
              <w:t>七</w:t>
            </w:r>
            <w:r>
              <w:rPr>
                <w:b/>
              </w:rPr>
              <w:t>、专业培养模式与教学方式</w:t>
            </w:r>
          </w:p>
        </w:tc>
        <w:tc>
          <w:tcPr>
            <w:tcW w:w="1733" w:type="dxa"/>
            <w:gridSpan w:val="2"/>
            <w:tcBorders>
              <w:top w:val="single" w:color="auto" w:sz="6" w:space="0"/>
              <w:bottom w:val="single" w:color="auto" w:sz="8" w:space="0"/>
            </w:tcBorders>
            <w:vAlign w:val="center"/>
          </w:tcPr>
          <w:p>
            <w:pPr>
              <w:ind w:firstLine="0" w:firstLineChars="0"/>
              <w:rPr>
                <w:iCs/>
              </w:rPr>
            </w:pPr>
            <w:r>
              <w:rPr>
                <w:iCs/>
              </w:rPr>
              <w:t>7.1培养模式</w:t>
            </w:r>
          </w:p>
        </w:tc>
        <w:tc>
          <w:tcPr>
            <w:tcW w:w="6645" w:type="dxa"/>
            <w:gridSpan w:val="2"/>
            <w:vAlign w:val="center"/>
          </w:tcPr>
          <w:p>
            <w:pPr>
              <w:ind w:firstLine="420"/>
              <w:rPr>
                <w:rFonts w:ascii="宋体" w:hAnsi="宋体"/>
                <w:kern w:val="0"/>
                <w:sz w:val="21"/>
                <w:szCs w:val="21"/>
              </w:rPr>
            </w:pPr>
            <w:r>
              <w:rPr>
                <w:rFonts w:ascii="宋体" w:hAnsi="宋体"/>
                <w:kern w:val="0"/>
                <w:sz w:val="21"/>
                <w:szCs w:val="21"/>
              </w:rPr>
              <w:t>采用开放教育的培养模式，引</w:t>
            </w:r>
            <w:r>
              <w:rPr>
                <w:rFonts w:hint="eastAsia" w:ascii="宋体" w:hAnsi="宋体"/>
                <w:kern w:val="0"/>
                <w:sz w:val="21"/>
                <w:szCs w:val="21"/>
              </w:rPr>
              <w:t>导</w:t>
            </w:r>
            <w:r>
              <w:rPr>
                <w:rFonts w:ascii="宋体" w:hAnsi="宋体"/>
                <w:kern w:val="0"/>
                <w:sz w:val="21"/>
                <w:szCs w:val="21"/>
              </w:rPr>
              <w:t>学生</w:t>
            </w:r>
            <w:r>
              <w:rPr>
                <w:rFonts w:hint="eastAsia" w:ascii="宋体" w:hAnsi="宋体"/>
                <w:kern w:val="0"/>
                <w:sz w:val="21"/>
                <w:szCs w:val="21"/>
              </w:rPr>
              <w:t>参加</w:t>
            </w:r>
            <w:r>
              <w:rPr>
                <w:rFonts w:ascii="宋体" w:hAnsi="宋体"/>
                <w:kern w:val="0"/>
                <w:sz w:val="21"/>
                <w:szCs w:val="21"/>
              </w:rPr>
              <w:t>资格</w:t>
            </w:r>
            <w:r>
              <w:rPr>
                <w:rFonts w:hint="eastAsia" w:ascii="宋体" w:hAnsi="宋体"/>
                <w:kern w:val="0"/>
                <w:sz w:val="21"/>
                <w:szCs w:val="21"/>
              </w:rPr>
              <w:t>考试</w:t>
            </w:r>
            <w:r>
              <w:rPr>
                <w:rFonts w:ascii="宋体" w:hAnsi="宋体"/>
                <w:kern w:val="0"/>
                <w:sz w:val="21"/>
                <w:szCs w:val="21"/>
              </w:rPr>
              <w:t>。</w:t>
            </w:r>
          </w:p>
          <w:p>
            <w:pPr>
              <w:ind w:firstLine="420"/>
              <w:rPr>
                <w:rFonts w:ascii="宋体" w:hAnsi="宋体"/>
                <w:kern w:val="0"/>
                <w:sz w:val="21"/>
                <w:szCs w:val="21"/>
              </w:rPr>
            </w:pPr>
            <w:r>
              <w:rPr>
                <w:rFonts w:ascii="宋体" w:hAnsi="宋体"/>
                <w:kern w:val="0"/>
                <w:sz w:val="21"/>
                <w:szCs w:val="21"/>
              </w:rPr>
              <w:t>1. 结合</w:t>
            </w:r>
            <w:r>
              <w:rPr>
                <w:rFonts w:hint="eastAsia" w:ascii="宋体" w:hAnsi="宋体"/>
                <w:kern w:val="0"/>
                <w:sz w:val="21"/>
                <w:szCs w:val="21"/>
              </w:rPr>
              <w:t>国家开放</w:t>
            </w:r>
            <w:r>
              <w:rPr>
                <w:rFonts w:ascii="宋体" w:hAnsi="宋体"/>
                <w:kern w:val="0"/>
                <w:sz w:val="21"/>
                <w:szCs w:val="21"/>
              </w:rPr>
              <w:t>大学</w:t>
            </w:r>
            <w:r>
              <w:rPr>
                <w:rFonts w:hint="eastAsia" w:ascii="宋体" w:hAnsi="宋体"/>
                <w:kern w:val="0"/>
                <w:sz w:val="21"/>
                <w:szCs w:val="21"/>
              </w:rPr>
              <w:t>的</w:t>
            </w:r>
            <w:r>
              <w:rPr>
                <w:rFonts w:ascii="宋体" w:hAnsi="宋体"/>
                <w:kern w:val="0"/>
                <w:sz w:val="21"/>
                <w:szCs w:val="21"/>
              </w:rPr>
              <w:t>人才培养模式</w:t>
            </w:r>
            <w:r>
              <w:rPr>
                <w:rFonts w:hint="eastAsia" w:ascii="宋体" w:hAnsi="宋体"/>
                <w:kern w:val="0"/>
                <w:sz w:val="21"/>
                <w:szCs w:val="21"/>
              </w:rPr>
              <w:t>，</w:t>
            </w:r>
            <w:r>
              <w:rPr>
                <w:rFonts w:ascii="宋体" w:hAnsi="宋体"/>
                <w:kern w:val="0"/>
                <w:sz w:val="21"/>
                <w:szCs w:val="21"/>
              </w:rPr>
              <w:t>以适应经济社会发展现实需要为目标，以适应从业人员学习需求的专业和课程为内容，以整合优化的学习资源为基础，以天网、地网、人网合一的学习环境为支撑，以学习者自主学习为主要方式，以严格而有弹性的过程管理为保障，培养留得住、用得上的应用型高级专门人才。</w:t>
            </w:r>
          </w:p>
          <w:p>
            <w:pPr>
              <w:ind w:firstLine="420"/>
              <w:rPr>
                <w:rFonts w:ascii="宋体" w:hAnsi="宋体"/>
                <w:kern w:val="0"/>
                <w:sz w:val="21"/>
                <w:szCs w:val="21"/>
              </w:rPr>
            </w:pPr>
            <w:r>
              <w:rPr>
                <w:rFonts w:ascii="宋体" w:hAnsi="宋体"/>
                <w:kern w:val="0"/>
                <w:sz w:val="21"/>
                <w:szCs w:val="21"/>
              </w:rPr>
              <w:t>2. 根据职业教育的现状和特点</w:t>
            </w:r>
            <w:r>
              <w:rPr>
                <w:rFonts w:hint="eastAsia" w:ascii="宋体" w:hAnsi="宋体"/>
                <w:kern w:val="0"/>
                <w:sz w:val="21"/>
                <w:szCs w:val="21"/>
              </w:rPr>
              <w:t>，</w:t>
            </w:r>
            <w:r>
              <w:rPr>
                <w:rFonts w:ascii="宋体" w:hAnsi="宋体"/>
                <w:kern w:val="0"/>
                <w:sz w:val="21"/>
                <w:szCs w:val="21"/>
              </w:rPr>
              <w:t>注重职业教育与文秘行业最新发展的同步性，强调专业针对性、实用性与前瞻性的结合。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993" w:type="dxa"/>
            <w:vMerge w:val="continue"/>
            <w:vAlign w:val="center"/>
          </w:tcPr>
          <w:p>
            <w:pPr>
              <w:ind w:firstLine="0" w:firstLineChars="0"/>
            </w:pPr>
          </w:p>
        </w:tc>
        <w:tc>
          <w:tcPr>
            <w:tcW w:w="1733" w:type="dxa"/>
            <w:gridSpan w:val="2"/>
            <w:tcBorders>
              <w:top w:val="single" w:color="auto" w:sz="8" w:space="0"/>
            </w:tcBorders>
            <w:vAlign w:val="center"/>
          </w:tcPr>
          <w:p>
            <w:pPr>
              <w:ind w:firstLine="0" w:firstLineChars="0"/>
              <w:rPr>
                <w:iCs/>
              </w:rPr>
            </w:pPr>
            <w:r>
              <w:rPr>
                <w:iCs/>
              </w:rPr>
              <w:t>7.2 教学方式</w:t>
            </w:r>
          </w:p>
        </w:tc>
        <w:tc>
          <w:tcPr>
            <w:tcW w:w="6645" w:type="dxa"/>
            <w:gridSpan w:val="2"/>
            <w:vAlign w:val="center"/>
          </w:tcPr>
          <w:p>
            <w:pPr>
              <w:ind w:firstLine="420"/>
              <w:rPr>
                <w:rFonts w:ascii="宋体" w:hAnsi="宋体"/>
                <w:kern w:val="0"/>
                <w:sz w:val="21"/>
                <w:szCs w:val="21"/>
              </w:rPr>
            </w:pPr>
            <w:r>
              <w:rPr>
                <w:rFonts w:ascii="宋体" w:hAnsi="宋体"/>
                <w:kern w:val="0"/>
                <w:sz w:val="21"/>
                <w:szCs w:val="21"/>
              </w:rPr>
              <w:t>采用</w:t>
            </w:r>
            <w:r>
              <w:rPr>
                <w:rFonts w:hint="eastAsia" w:ascii="宋体" w:hAnsi="宋体"/>
                <w:kern w:val="0"/>
                <w:sz w:val="21"/>
                <w:szCs w:val="21"/>
              </w:rPr>
              <w:t>“</w:t>
            </w:r>
            <w:r>
              <w:rPr>
                <w:rFonts w:ascii="宋体" w:hAnsi="宋体"/>
                <w:kern w:val="0"/>
                <w:sz w:val="21"/>
                <w:szCs w:val="21"/>
              </w:rPr>
              <w:t>现代远程教育</w:t>
            </w:r>
            <w:r>
              <w:rPr>
                <w:rFonts w:hint="eastAsia" w:ascii="宋体" w:hAnsi="宋体"/>
                <w:kern w:val="0"/>
                <w:sz w:val="21"/>
                <w:szCs w:val="21"/>
              </w:rPr>
              <w:t>”</w:t>
            </w:r>
            <w:r>
              <w:rPr>
                <w:rFonts w:ascii="宋体" w:hAnsi="宋体"/>
                <w:kern w:val="0"/>
                <w:sz w:val="21"/>
                <w:szCs w:val="21"/>
              </w:rPr>
              <w:t>的教学方式，为学习者自主学习提供适用的多种媒体教学资源，重点开展网上教学活动。推进随时入学及选课，随时注册；以专业和岗位需求为根据，以强调实际动手能力为导向，以满足岗位技能的要求为目标，结合学校自身和电大系统的优势，使理论教学与分组教学、项目驱动教学、多媒体课件、幻灯演示、音像制品的播放等多种教学方法与实践相结合，增强学生主动学习、小组协作能力。</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993" w:type="dxa"/>
            <w:vMerge w:val="restart"/>
            <w:vAlign w:val="center"/>
          </w:tcPr>
          <w:p>
            <w:pPr>
              <w:ind w:firstLine="0" w:firstLineChars="0"/>
            </w:pPr>
            <w:r>
              <w:rPr>
                <w:b/>
              </w:rPr>
              <w:t>八、</w:t>
            </w:r>
            <w:r>
              <w:rPr>
                <w:rFonts w:hint="eastAsia"/>
                <w:b/>
              </w:rPr>
              <w:t>教</w:t>
            </w:r>
            <w:r>
              <w:rPr>
                <w:b/>
              </w:rPr>
              <w:t>学管理</w:t>
            </w:r>
          </w:p>
        </w:tc>
        <w:tc>
          <w:tcPr>
            <w:tcW w:w="1733" w:type="dxa"/>
            <w:gridSpan w:val="2"/>
            <w:vAlign w:val="center"/>
          </w:tcPr>
          <w:p>
            <w:pPr>
              <w:ind w:firstLine="0" w:firstLineChars="0"/>
              <w:rPr>
                <w:iCs/>
              </w:rPr>
            </w:pPr>
            <w:r>
              <w:rPr>
                <w:iCs/>
              </w:rPr>
              <w:t>8.1</w:t>
            </w:r>
            <w:r>
              <w:rPr>
                <w:rFonts w:hint="eastAsia"/>
                <w:iCs/>
              </w:rPr>
              <w:t>课</w:t>
            </w:r>
            <w:r>
              <w:rPr>
                <w:iCs/>
              </w:rPr>
              <w:t>程管理</w:t>
            </w:r>
          </w:p>
        </w:tc>
        <w:tc>
          <w:tcPr>
            <w:tcW w:w="6645" w:type="dxa"/>
            <w:gridSpan w:val="2"/>
            <w:vAlign w:val="center"/>
          </w:tcPr>
          <w:p>
            <w:pPr>
              <w:ind w:firstLine="420"/>
              <w:rPr>
                <w:rFonts w:ascii="宋体" w:hAnsi="宋体"/>
                <w:kern w:val="0"/>
                <w:sz w:val="21"/>
                <w:szCs w:val="21"/>
              </w:rPr>
            </w:pPr>
            <w:r>
              <w:rPr>
                <w:rFonts w:ascii="宋体" w:hAnsi="宋体"/>
                <w:kern w:val="0"/>
                <w:sz w:val="21"/>
                <w:szCs w:val="21"/>
              </w:rPr>
              <w:t>统设必修课严格执行统一课程名称、统一课程学分标准、统一教学大纲、统一教材、统一考试。</w:t>
            </w:r>
          </w:p>
          <w:p>
            <w:pPr>
              <w:ind w:firstLine="420"/>
              <w:rPr>
                <w:rFonts w:ascii="宋体" w:hAnsi="宋体"/>
                <w:kern w:val="0"/>
                <w:sz w:val="21"/>
                <w:szCs w:val="21"/>
              </w:rPr>
            </w:pPr>
            <w:r>
              <w:rPr>
                <w:rFonts w:hint="eastAsia" w:ascii="宋体" w:hAnsi="宋体"/>
                <w:kern w:val="0"/>
                <w:sz w:val="21"/>
                <w:szCs w:val="21"/>
              </w:rPr>
              <w:t>1.</w:t>
            </w:r>
            <w:r>
              <w:rPr>
                <w:rFonts w:ascii="宋体" w:hAnsi="宋体"/>
                <w:kern w:val="0"/>
                <w:sz w:val="21"/>
                <w:szCs w:val="21"/>
              </w:rPr>
              <w:t>课程实践环节成绩计入课程学习成绩，没有完成课程实践环节的不能取得课程学分。</w:t>
            </w:r>
          </w:p>
          <w:p>
            <w:pPr>
              <w:ind w:firstLine="420"/>
              <w:rPr>
                <w:rFonts w:ascii="宋体" w:hAnsi="宋体"/>
                <w:kern w:val="0"/>
                <w:sz w:val="21"/>
                <w:szCs w:val="21"/>
              </w:rPr>
            </w:pPr>
            <w:r>
              <w:rPr>
                <w:rFonts w:hint="eastAsia" w:ascii="宋体" w:hAnsi="宋体"/>
                <w:kern w:val="0"/>
                <w:sz w:val="21"/>
                <w:szCs w:val="21"/>
              </w:rPr>
              <w:t>2.</w:t>
            </w:r>
            <w:r>
              <w:rPr>
                <w:rFonts w:ascii="宋体" w:hAnsi="宋体"/>
                <w:kern w:val="0"/>
                <w:sz w:val="21"/>
                <w:szCs w:val="21"/>
              </w:rPr>
              <w:t>相似课程不宜兼修，如果兼修，只计其中一门课程的学分。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993" w:type="dxa"/>
            <w:vMerge w:val="continue"/>
            <w:vAlign w:val="center"/>
          </w:tcPr>
          <w:p>
            <w:pPr>
              <w:ind w:firstLine="0" w:firstLineChars="0"/>
            </w:pPr>
          </w:p>
        </w:tc>
        <w:tc>
          <w:tcPr>
            <w:tcW w:w="1733" w:type="dxa"/>
            <w:gridSpan w:val="2"/>
            <w:vAlign w:val="center"/>
          </w:tcPr>
          <w:p>
            <w:pPr>
              <w:ind w:firstLine="0" w:firstLineChars="0"/>
              <w:rPr>
                <w:iCs/>
              </w:rPr>
            </w:pPr>
            <w:r>
              <w:rPr>
                <w:iCs/>
              </w:rPr>
              <w:t>8.2 开课学期</w:t>
            </w:r>
          </w:p>
        </w:tc>
        <w:tc>
          <w:tcPr>
            <w:tcW w:w="6645" w:type="dxa"/>
            <w:gridSpan w:val="2"/>
            <w:vAlign w:val="center"/>
          </w:tcPr>
          <w:p>
            <w:pPr>
              <w:ind w:firstLine="420"/>
              <w:rPr>
                <w:rFonts w:ascii="宋体" w:hAnsi="宋体"/>
                <w:kern w:val="0"/>
                <w:sz w:val="21"/>
                <w:szCs w:val="21"/>
              </w:rPr>
            </w:pPr>
            <w:r>
              <w:rPr>
                <w:rFonts w:ascii="宋体" w:hAnsi="宋体"/>
                <w:kern w:val="0"/>
                <w:sz w:val="21"/>
                <w:szCs w:val="21"/>
              </w:rPr>
              <w:t>专业规则表中各课程建议开设学期是根据专业知识结构提供的课程先修、后续关系确定的，供学生选课时参考。开放教育各专业所有统设必修课程首轮开设时必须按照建议开设学期开课，之后实行全年滚动开设。</w:t>
            </w:r>
          </w:p>
        </w:tc>
      </w:tr>
    </w:tbl>
    <w:p>
      <w:pPr>
        <w:spacing w:line="240" w:lineRule="auto"/>
        <w:ind w:firstLine="0" w:firstLineChars="0"/>
        <w:rPr>
          <w:rFonts w:ascii="Calibri" w:hAnsi="Calibri"/>
          <w:sz w:val="21"/>
          <w:szCs w:val="22"/>
        </w:rPr>
      </w:pPr>
    </w:p>
    <w:p>
      <w:pPr>
        <w:spacing w:line="240" w:lineRule="auto"/>
        <w:ind w:firstLine="0" w:firstLineChars="0"/>
        <w:rPr>
          <w:rFonts w:ascii="Calibri" w:hAnsi="Calibri"/>
          <w:sz w:val="21"/>
          <w:szCs w:val="22"/>
        </w:rPr>
      </w:pPr>
    </w:p>
    <w:p>
      <w:pPr>
        <w:spacing w:line="240" w:lineRule="auto"/>
        <w:ind w:firstLine="0" w:firstLineChars="0"/>
        <w:rPr>
          <w:rFonts w:ascii="Calibri" w:hAnsi="Calibri"/>
          <w:sz w:val="21"/>
          <w:szCs w:val="22"/>
        </w:rPr>
      </w:pPr>
      <w:r>
        <w:rPr>
          <w:kern w:val="0"/>
        </w:rPr>
        <w:drawing>
          <wp:anchor distT="0" distB="0" distL="114300" distR="114300" simplePos="0" relativeHeight="251673600" behindDoc="0" locked="0" layoutInCell="1" allowOverlap="1">
            <wp:simplePos x="0" y="0"/>
            <wp:positionH relativeFrom="margin">
              <wp:align>right</wp:align>
            </wp:positionH>
            <wp:positionV relativeFrom="paragraph">
              <wp:posOffset>-3351530</wp:posOffset>
            </wp:positionV>
            <wp:extent cx="266700" cy="142875"/>
            <wp:effectExtent l="0" t="0" r="0" b="9525"/>
            <wp:wrapNone/>
            <wp:docPr id="10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66700" cy="142875"/>
                    </a:xfrm>
                    <a:prstGeom prst="rect">
                      <a:avLst/>
                    </a:prstGeom>
                  </pic:spPr>
                </pic:pic>
              </a:graphicData>
            </a:graphic>
          </wp:anchor>
        </w:drawing>
      </w:r>
    </w:p>
    <w:p>
      <w:pPr>
        <w:ind w:firstLine="0" w:firstLineChars="0"/>
      </w:pPr>
    </w:p>
    <w:p>
      <w:pPr>
        <w:ind w:firstLine="0" w:firstLineChars="0"/>
      </w:pPr>
    </w:p>
    <w:p>
      <w:pPr>
        <w:ind w:firstLine="0" w:firstLineChars="0"/>
      </w:pPr>
    </w:p>
    <w:p>
      <w:pPr>
        <w:ind w:left="480" w:leftChars="200" w:firstLine="0" w:firstLineChars="0"/>
        <w:jc w:val="center"/>
        <w:rPr>
          <w:rFonts w:ascii="宋体" w:hAnsi="宋体"/>
          <w:b/>
          <w:color w:val="000000"/>
          <w:sz w:val="32"/>
          <w:szCs w:val="30"/>
        </w:rPr>
      </w:pPr>
      <w:r>
        <w:rPr>
          <w:rFonts w:hint="eastAsia" w:ascii="宋体" w:hAnsi="宋体"/>
          <w:b/>
          <w:color w:val="000000"/>
          <w:sz w:val="32"/>
          <w:szCs w:val="30"/>
        </w:rPr>
        <w:t>资源</w:t>
      </w:r>
      <w:r>
        <w:rPr>
          <w:rFonts w:ascii="宋体" w:hAnsi="宋体"/>
          <w:b/>
          <w:color w:val="000000"/>
          <w:sz w:val="32"/>
          <w:szCs w:val="30"/>
        </w:rPr>
        <w:t>环境与安全</w:t>
      </w:r>
      <w:r>
        <w:rPr>
          <w:rFonts w:hint="eastAsia" w:ascii="宋体" w:hAnsi="宋体"/>
          <w:b/>
          <w:color w:val="000000"/>
          <w:sz w:val="32"/>
          <w:szCs w:val="30"/>
        </w:rPr>
        <w:t>大类安全类</w:t>
      </w:r>
    </w:p>
    <w:p>
      <w:pPr>
        <w:spacing w:afterLines="50"/>
        <w:ind w:left="480" w:leftChars="200" w:firstLine="0" w:firstLineChars="0"/>
        <w:jc w:val="center"/>
        <w:rPr>
          <w:rFonts w:ascii="宋体" w:hAnsi="宋体"/>
          <w:b/>
          <w:color w:val="000000"/>
          <w:sz w:val="32"/>
          <w:szCs w:val="30"/>
        </w:rPr>
      </w:pPr>
      <w:r>
        <w:rPr>
          <w:rFonts w:hint="eastAsia" w:ascii="宋体" w:hAnsi="宋体"/>
          <w:b/>
          <w:color w:val="000000"/>
          <w:sz w:val="32"/>
          <w:szCs w:val="30"/>
        </w:rPr>
        <w:t>安全</w:t>
      </w:r>
      <w:r>
        <w:rPr>
          <w:rFonts w:ascii="宋体" w:hAnsi="宋体"/>
          <w:b/>
          <w:color w:val="000000"/>
          <w:sz w:val="32"/>
          <w:szCs w:val="30"/>
        </w:rPr>
        <w:t>技术与管理</w:t>
      </w:r>
      <w:r>
        <w:rPr>
          <w:rFonts w:hint="eastAsia" w:ascii="宋体" w:hAnsi="宋体"/>
          <w:b/>
          <w:color w:val="000000"/>
          <w:sz w:val="32"/>
          <w:szCs w:val="30"/>
        </w:rPr>
        <w:t>（专科）专业课程说明</w:t>
      </w:r>
    </w:p>
    <w:tbl>
      <w:tblPr>
        <w:tblStyle w:val="16"/>
        <w:tblW w:w="9782" w:type="dxa"/>
        <w:tblInd w:w="-284"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09"/>
        <w:gridCol w:w="850"/>
        <w:gridCol w:w="7058"/>
        <w:gridCol w:w="457"/>
        <w:gridCol w:w="70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09" w:type="dxa"/>
            <w:vAlign w:val="center"/>
          </w:tcPr>
          <w:p>
            <w:pPr>
              <w:spacing w:line="280" w:lineRule="exact"/>
              <w:ind w:firstLine="0" w:firstLineChars="0"/>
              <w:jc w:val="left"/>
              <w:rPr>
                <w:rFonts w:ascii="宋体" w:hAnsi="宋体"/>
                <w:b/>
                <w:color w:val="000000"/>
              </w:rPr>
            </w:pPr>
            <w:r>
              <w:rPr>
                <w:rFonts w:hint="eastAsia" w:ascii="宋体" w:hAnsi="宋体"/>
                <w:b/>
                <w:color w:val="000000"/>
              </w:rPr>
              <w:t>课程</w:t>
            </w:r>
          </w:p>
          <w:p>
            <w:pPr>
              <w:spacing w:line="280" w:lineRule="exact"/>
              <w:ind w:firstLine="0" w:firstLineChars="0"/>
              <w:jc w:val="left"/>
              <w:rPr>
                <w:rFonts w:ascii="宋体" w:hAnsi="宋体"/>
                <w:b/>
                <w:color w:val="000000"/>
              </w:rPr>
            </w:pPr>
            <w:r>
              <w:rPr>
                <w:rFonts w:hint="eastAsia" w:ascii="宋体" w:hAnsi="宋体"/>
                <w:b/>
                <w:color w:val="000000"/>
              </w:rPr>
              <w:t>性质</w:t>
            </w:r>
          </w:p>
        </w:tc>
        <w:tc>
          <w:tcPr>
            <w:tcW w:w="850" w:type="dxa"/>
            <w:vAlign w:val="center"/>
          </w:tcPr>
          <w:p>
            <w:pPr>
              <w:spacing w:line="280" w:lineRule="exact"/>
              <w:ind w:firstLine="0" w:firstLineChars="0"/>
              <w:jc w:val="center"/>
              <w:rPr>
                <w:rFonts w:ascii="宋体" w:hAnsi="宋体"/>
                <w:b/>
                <w:color w:val="000000"/>
              </w:rPr>
            </w:pPr>
            <w:r>
              <w:rPr>
                <w:rFonts w:hint="eastAsia" w:ascii="宋体" w:hAnsi="宋体"/>
                <w:b/>
                <w:color w:val="000000"/>
              </w:rPr>
              <w:t>课程</w:t>
            </w:r>
          </w:p>
          <w:p>
            <w:pPr>
              <w:spacing w:line="280" w:lineRule="exact"/>
              <w:ind w:firstLine="0" w:firstLineChars="0"/>
              <w:jc w:val="center"/>
              <w:rPr>
                <w:rFonts w:ascii="宋体" w:hAnsi="宋体"/>
                <w:b/>
                <w:color w:val="000000"/>
              </w:rPr>
            </w:pPr>
            <w:r>
              <w:rPr>
                <w:rFonts w:hint="eastAsia" w:ascii="宋体" w:hAnsi="宋体"/>
                <w:b/>
                <w:color w:val="000000"/>
              </w:rPr>
              <w:t>名称</w:t>
            </w:r>
          </w:p>
        </w:tc>
        <w:tc>
          <w:tcPr>
            <w:tcW w:w="7058" w:type="dxa"/>
            <w:vAlign w:val="center"/>
          </w:tcPr>
          <w:p>
            <w:pPr>
              <w:spacing w:line="280" w:lineRule="exact"/>
              <w:ind w:firstLine="0" w:firstLineChars="0"/>
              <w:jc w:val="center"/>
              <w:rPr>
                <w:rFonts w:ascii="宋体" w:hAnsi="宋体"/>
                <w:b/>
                <w:color w:val="000000"/>
              </w:rPr>
            </w:pPr>
            <w:r>
              <w:rPr>
                <w:rFonts w:hint="eastAsia" w:ascii="宋体" w:hAnsi="宋体"/>
                <w:b/>
                <w:color w:val="000000"/>
              </w:rPr>
              <w:t>内容介绍</w:t>
            </w:r>
          </w:p>
        </w:tc>
        <w:tc>
          <w:tcPr>
            <w:tcW w:w="457" w:type="dxa"/>
            <w:vAlign w:val="center"/>
          </w:tcPr>
          <w:p>
            <w:pPr>
              <w:spacing w:line="280" w:lineRule="exact"/>
              <w:ind w:firstLine="0" w:firstLineChars="0"/>
              <w:jc w:val="center"/>
              <w:rPr>
                <w:rFonts w:ascii="宋体" w:hAnsi="宋体"/>
                <w:b/>
                <w:color w:val="000000"/>
              </w:rPr>
            </w:pPr>
            <w:r>
              <w:rPr>
                <w:rFonts w:hint="eastAsia" w:ascii="宋体" w:hAnsi="宋体"/>
                <w:b/>
                <w:color w:val="000000"/>
              </w:rPr>
              <w:t>学分</w:t>
            </w:r>
          </w:p>
        </w:tc>
        <w:tc>
          <w:tcPr>
            <w:tcW w:w="708" w:type="dxa"/>
            <w:vAlign w:val="center"/>
          </w:tcPr>
          <w:p>
            <w:pPr>
              <w:spacing w:line="280" w:lineRule="exact"/>
              <w:ind w:firstLine="0" w:firstLineChars="0"/>
              <w:jc w:val="center"/>
              <w:rPr>
                <w:rFonts w:ascii="宋体" w:hAnsi="宋体"/>
                <w:b/>
                <w:color w:val="000000"/>
              </w:rPr>
            </w:pPr>
            <w:r>
              <w:rPr>
                <w:rFonts w:hint="eastAsia" w:ascii="宋体" w:hAnsi="宋体"/>
                <w:b/>
                <w:color w:val="000000"/>
              </w:rPr>
              <w:t>教学时数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09" w:type="dxa"/>
            <w:vMerge w:val="restart"/>
            <w:vAlign w:val="center"/>
          </w:tcPr>
          <w:p>
            <w:pPr>
              <w:ind w:firstLine="0" w:firstLineChars="0"/>
              <w:jc w:val="left"/>
              <w:rPr>
                <w:rFonts w:ascii="宋体" w:hAnsi="宋体"/>
                <w:color w:val="000000"/>
              </w:rPr>
            </w:pPr>
            <w:r>
              <w:rPr>
                <w:rFonts w:hint="eastAsia" w:ascii="宋体" w:hAnsi="宋体"/>
                <w:color w:val="000000"/>
              </w:rPr>
              <w:t>公共</w:t>
            </w:r>
          </w:p>
          <w:p>
            <w:pPr>
              <w:ind w:firstLine="0" w:firstLineChars="0"/>
              <w:jc w:val="left"/>
              <w:rPr>
                <w:rFonts w:ascii="宋体" w:hAnsi="宋体"/>
                <w:color w:val="000000"/>
              </w:rPr>
            </w:pPr>
            <w:r>
              <w:rPr>
                <w:rFonts w:hint="eastAsia" w:ascii="宋体" w:hAnsi="宋体"/>
                <w:color w:val="000000"/>
              </w:rPr>
              <w:t>基础</w:t>
            </w:r>
          </w:p>
          <w:p>
            <w:pPr>
              <w:ind w:firstLine="0" w:firstLineChars="0"/>
              <w:jc w:val="left"/>
              <w:rPr>
                <w:rFonts w:ascii="方正书宋简体" w:hAnsi="Calibri" w:eastAsia="方正书宋简体"/>
                <w:color w:val="000000"/>
              </w:rPr>
            </w:pPr>
            <w:r>
              <w:rPr>
                <w:rFonts w:hint="eastAsia" w:ascii="宋体" w:hAnsi="宋体"/>
                <w:color w:val="000000"/>
              </w:rPr>
              <w:t>课程</w:t>
            </w:r>
          </w:p>
        </w:tc>
        <w:tc>
          <w:tcPr>
            <w:tcW w:w="850" w:type="dxa"/>
            <w:vAlign w:val="center"/>
          </w:tcPr>
          <w:p>
            <w:pPr>
              <w:spacing w:line="240" w:lineRule="auto"/>
              <w:ind w:firstLine="0" w:firstLineChars="0"/>
              <w:jc w:val="center"/>
              <w:rPr>
                <w:rFonts w:ascii="宋体" w:hAnsi="宋体" w:cs="宋体"/>
                <w:color w:val="000000"/>
                <w:kern w:val="1"/>
              </w:rPr>
            </w:pPr>
            <w:r>
              <w:rPr>
                <w:rFonts w:ascii="宋体" w:hAnsi="宋体" w:cs="宋体"/>
                <w:color w:val="000000"/>
                <w:kern w:val="1"/>
              </w:rPr>
              <w:t>中国特色社会主义理论体系概论</w:t>
            </w:r>
          </w:p>
        </w:tc>
        <w:tc>
          <w:tcPr>
            <w:tcW w:w="7058" w:type="dxa"/>
            <w:vAlign w:val="center"/>
          </w:tcPr>
          <w:p>
            <w:pPr>
              <w:ind w:firstLine="420"/>
              <w:rPr>
                <w:rFonts w:ascii="宋体" w:hAnsi="宋体"/>
                <w:color w:val="000000"/>
                <w:sz w:val="21"/>
                <w:szCs w:val="21"/>
              </w:rPr>
            </w:pPr>
            <w:r>
              <w:rPr>
                <w:rFonts w:ascii="宋体" w:hAnsi="宋体"/>
                <w:color w:val="000000"/>
                <w:sz w:val="21"/>
                <w:szCs w:val="21"/>
              </w:rPr>
              <w:t>本课程是根据我国改革开放以来，中国共产党历次代表大会，特别是十八大报告精神，为培养电大学生掌握中国特色社会主义理论体系的主要内容和精神实质而开设的公共必修思想政治理论课。</w:t>
            </w:r>
          </w:p>
          <w:p>
            <w:pPr>
              <w:ind w:firstLine="420"/>
              <w:rPr>
                <w:rFonts w:ascii="宋体" w:hAnsi="宋体"/>
                <w:color w:val="000000"/>
                <w:sz w:val="21"/>
                <w:szCs w:val="21"/>
              </w:rPr>
            </w:pPr>
            <w:r>
              <w:rPr>
                <w:rFonts w:ascii="宋体" w:hAnsi="宋体"/>
                <w:color w:val="000000"/>
                <w:sz w:val="21"/>
                <w:szCs w:val="21"/>
              </w:rPr>
              <w:t>本课程介绍了中国特色社会主义理论体系的形成发展过程及中国特色社会主义的思想路线、总依据、总任务、发展动力，中国特色社会主义的经济建设、政治建设、文化建设、社会建设、生态文明建设，祖国完全统一构想和新时期外交政策，中国特色社会主义的依靠力量和领导核心等内容。</w:t>
            </w:r>
          </w:p>
        </w:tc>
        <w:tc>
          <w:tcPr>
            <w:tcW w:w="45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708" w:type="dxa"/>
            <w:vAlign w:val="center"/>
          </w:tcPr>
          <w:p>
            <w:pPr>
              <w:ind w:firstLine="0" w:firstLineChars="0"/>
              <w:jc w:val="center"/>
              <w:rPr>
                <w:rFonts w:ascii="宋体" w:hAnsi="宋体"/>
                <w:color w:val="000000"/>
                <w:sz w:val="21"/>
                <w:szCs w:val="21"/>
              </w:rPr>
            </w:pPr>
            <w:r>
              <w:rPr>
                <w:rFonts w:ascii="宋体" w:hAnsi="宋体"/>
                <w:color w:val="000000"/>
                <w:sz w:val="21"/>
                <w:szCs w:val="21"/>
              </w:rPr>
              <w:t>36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09"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ascii="宋体" w:hAnsi="宋体" w:cs="宋体"/>
                <w:color w:val="000000"/>
                <w:kern w:val="1"/>
              </w:rPr>
              <w:t>国家开放大学学习指南</w:t>
            </w:r>
          </w:p>
        </w:tc>
        <w:tc>
          <w:tcPr>
            <w:tcW w:w="7058" w:type="dxa"/>
            <w:vAlign w:val="center"/>
          </w:tcPr>
          <w:p>
            <w:pPr>
              <w:ind w:firstLine="420"/>
              <w:rPr>
                <w:rFonts w:ascii="宋体" w:hAnsi="宋体"/>
                <w:color w:val="000000"/>
                <w:sz w:val="21"/>
                <w:szCs w:val="21"/>
              </w:rPr>
            </w:pPr>
            <w:r>
              <w:rPr>
                <w:rFonts w:ascii="宋体" w:hAnsi="宋体"/>
                <w:color w:val="000000"/>
                <w:sz w:val="21"/>
                <w:szCs w:val="21"/>
              </w:rPr>
              <w:t>本课程是国家开放大学在本、专、一村一的所有专业开设的一门统设必修课。本课程的教学目的是使接受国家开放大学远程教育的学生在进入专业</w:t>
            </w:r>
            <w:r>
              <w:rPr>
                <w:rFonts w:hint="eastAsia" w:ascii="宋体" w:hAnsi="宋体"/>
                <w:color w:val="000000"/>
                <w:sz w:val="21"/>
                <w:szCs w:val="21"/>
              </w:rPr>
              <w:t>（</w:t>
            </w:r>
            <w:r>
              <w:rPr>
                <w:rFonts w:ascii="宋体" w:hAnsi="宋体"/>
                <w:color w:val="000000"/>
                <w:sz w:val="21"/>
                <w:szCs w:val="21"/>
              </w:rPr>
              <w:t>课程</w:t>
            </w:r>
            <w:r>
              <w:rPr>
                <w:rFonts w:hint="eastAsia" w:ascii="宋体" w:hAnsi="宋体"/>
                <w:color w:val="000000"/>
                <w:sz w:val="21"/>
                <w:szCs w:val="21"/>
              </w:rPr>
              <w:t>）</w:t>
            </w:r>
            <w:r>
              <w:rPr>
                <w:rFonts w:ascii="宋体" w:hAnsi="宋体"/>
                <w:color w:val="000000"/>
                <w:sz w:val="21"/>
                <w:szCs w:val="21"/>
              </w:rPr>
              <w:t>学习之前</w:t>
            </w:r>
            <w:r>
              <w:rPr>
                <w:rFonts w:hint="eastAsia" w:ascii="宋体" w:hAnsi="宋体"/>
                <w:color w:val="000000"/>
                <w:sz w:val="21"/>
                <w:szCs w:val="21"/>
              </w:rPr>
              <w:t>，</w:t>
            </w:r>
            <w:r>
              <w:rPr>
                <w:rFonts w:ascii="宋体" w:hAnsi="宋体"/>
                <w:color w:val="000000"/>
                <w:sz w:val="21"/>
                <w:szCs w:val="21"/>
              </w:rPr>
              <w:t>了解和熟悉远程教育新的学习环境</w:t>
            </w:r>
            <w:r>
              <w:rPr>
                <w:rFonts w:hint="eastAsia" w:ascii="宋体" w:hAnsi="宋体"/>
                <w:color w:val="000000"/>
                <w:sz w:val="21"/>
                <w:szCs w:val="21"/>
              </w:rPr>
              <w:t>，</w:t>
            </w:r>
            <w:r>
              <w:rPr>
                <w:rFonts w:ascii="宋体" w:hAnsi="宋体"/>
                <w:color w:val="000000"/>
                <w:sz w:val="21"/>
                <w:szCs w:val="21"/>
              </w:rPr>
              <w:t>建立与远程教学模式相适应的新的学习理念</w:t>
            </w:r>
            <w:r>
              <w:rPr>
                <w:rFonts w:hint="eastAsia" w:ascii="宋体" w:hAnsi="宋体"/>
                <w:color w:val="000000"/>
                <w:sz w:val="21"/>
                <w:szCs w:val="21"/>
              </w:rPr>
              <w:t>，</w:t>
            </w:r>
            <w:r>
              <w:rPr>
                <w:rFonts w:ascii="宋体" w:hAnsi="宋体"/>
                <w:color w:val="000000"/>
                <w:sz w:val="21"/>
                <w:szCs w:val="21"/>
              </w:rPr>
              <w:t>了解并尽快适应远程教育教与学的方式</w:t>
            </w:r>
            <w:r>
              <w:rPr>
                <w:rFonts w:hint="eastAsia" w:ascii="宋体" w:hAnsi="宋体"/>
                <w:color w:val="000000"/>
                <w:sz w:val="21"/>
                <w:szCs w:val="21"/>
              </w:rPr>
              <w:t>，</w:t>
            </w:r>
            <w:r>
              <w:rPr>
                <w:rFonts w:ascii="宋体" w:hAnsi="宋体"/>
                <w:color w:val="000000"/>
                <w:sz w:val="21"/>
                <w:szCs w:val="21"/>
              </w:rPr>
              <w:t>掌握基本的学习技能</w:t>
            </w:r>
            <w:r>
              <w:rPr>
                <w:rFonts w:hint="eastAsia" w:ascii="宋体" w:hAnsi="宋体"/>
                <w:color w:val="000000"/>
                <w:sz w:val="21"/>
                <w:szCs w:val="21"/>
              </w:rPr>
              <w:t>，</w:t>
            </w:r>
            <w:r>
              <w:rPr>
                <w:rFonts w:ascii="宋体" w:hAnsi="宋体"/>
                <w:color w:val="000000"/>
                <w:sz w:val="21"/>
                <w:szCs w:val="21"/>
              </w:rPr>
              <w:t>逐步培养自主学习的习惯和能力。</w:t>
            </w:r>
          </w:p>
          <w:p>
            <w:pPr>
              <w:ind w:firstLine="420"/>
              <w:rPr>
                <w:rFonts w:ascii="宋体" w:hAnsi="宋体"/>
                <w:color w:val="000000"/>
                <w:sz w:val="21"/>
                <w:szCs w:val="21"/>
              </w:rPr>
            </w:pPr>
            <w:r>
              <w:rPr>
                <w:rFonts w:ascii="宋体" w:hAnsi="宋体"/>
                <w:color w:val="000000"/>
                <w:sz w:val="21"/>
                <w:szCs w:val="21"/>
              </w:rPr>
              <w:t>本课程的主要</w:t>
            </w:r>
            <w:r>
              <w:rPr>
                <w:rFonts w:hint="eastAsia" w:ascii="宋体" w:hAnsi="宋体"/>
                <w:color w:val="000000"/>
                <w:sz w:val="21"/>
                <w:szCs w:val="21"/>
              </w:rPr>
              <w:t>介绍了</w:t>
            </w:r>
            <w:r>
              <w:rPr>
                <w:rFonts w:ascii="宋体" w:hAnsi="宋体"/>
                <w:color w:val="000000"/>
                <w:sz w:val="21"/>
                <w:szCs w:val="21"/>
              </w:rPr>
              <w:t>以完成学习任务的过程为导向，从学习者如何完成国家开放大学规定的专业学习任务的角度，让学习者学会如何完成一门课程的学习、一个专业的学习，同时描述国家开放大学基本的学习方式，说明国家开放大学的学习环境，解释国家开放大学学习平台上基本术语的涵义，使学生能使用学习平台的基本工具辅助完成学习活动，并且了解国家开放大学学生相关事务与管理规定。使学生初步具备利用现代远程技术在国家开放大学进行学习的能力。</w:t>
            </w:r>
          </w:p>
        </w:tc>
        <w:tc>
          <w:tcPr>
            <w:tcW w:w="45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w:t>
            </w:r>
          </w:p>
        </w:tc>
        <w:tc>
          <w:tcPr>
            <w:tcW w:w="708" w:type="dxa"/>
            <w:vAlign w:val="center"/>
          </w:tcPr>
          <w:p>
            <w:pPr>
              <w:ind w:firstLine="0" w:firstLineChars="0"/>
              <w:jc w:val="center"/>
              <w:rPr>
                <w:rFonts w:ascii="宋体" w:hAnsi="宋体"/>
                <w:color w:val="000000"/>
                <w:sz w:val="21"/>
                <w:szCs w:val="21"/>
              </w:rPr>
            </w:pPr>
            <w:r>
              <w:rPr>
                <w:rFonts w:ascii="宋体" w:hAnsi="宋体"/>
                <w:color w:val="000000"/>
                <w:sz w:val="21"/>
                <w:szCs w:val="21"/>
              </w:rPr>
              <w:t>18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c>
          <w:tcPr>
            <w:tcW w:w="709"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vAlign w:val="center"/>
          </w:tcPr>
          <w:p>
            <w:pPr>
              <w:ind w:firstLine="0" w:firstLineChars="0"/>
              <w:jc w:val="center"/>
              <w:rPr>
                <w:rFonts w:ascii="宋体" w:hAnsi="宋体" w:cs="宋体"/>
                <w:color w:val="000000"/>
                <w:kern w:val="1"/>
              </w:rPr>
            </w:pPr>
            <w:r>
              <w:rPr>
                <w:rFonts w:ascii="宋体" w:hAnsi="宋体" w:cs="宋体"/>
                <w:color w:val="000000"/>
                <w:kern w:val="1"/>
              </w:rPr>
              <w:t>英语</w:t>
            </w:r>
            <w:r>
              <w:rPr>
                <w:rFonts w:hint="eastAsia" w:ascii="宋体" w:hAnsi="宋体" w:cs="宋体"/>
                <w:color w:val="000000"/>
                <w:kern w:val="1"/>
              </w:rPr>
              <w:t>Ⅰ（</w:t>
            </w:r>
            <w:r>
              <w:rPr>
                <w:rFonts w:ascii="宋体" w:hAnsi="宋体" w:cs="宋体"/>
                <w:color w:val="000000"/>
                <w:kern w:val="1"/>
              </w:rPr>
              <w:t>1</w:t>
            </w:r>
            <w:r>
              <w:rPr>
                <w:rFonts w:hint="eastAsia" w:ascii="宋体" w:hAnsi="宋体" w:cs="宋体"/>
                <w:color w:val="000000"/>
                <w:kern w:val="1"/>
              </w:rPr>
              <w:t>）</w:t>
            </w:r>
          </w:p>
        </w:tc>
        <w:tc>
          <w:tcPr>
            <w:tcW w:w="7058" w:type="dxa"/>
            <w:vAlign w:val="center"/>
          </w:tcPr>
          <w:p>
            <w:pPr>
              <w:ind w:firstLine="420"/>
              <w:rPr>
                <w:rFonts w:ascii="宋体" w:hAnsi="宋体"/>
                <w:color w:val="000000"/>
                <w:sz w:val="21"/>
                <w:szCs w:val="21"/>
              </w:rPr>
            </w:pPr>
            <w:r>
              <w:rPr>
                <w:rFonts w:ascii="宋体" w:hAnsi="宋体"/>
                <w:color w:val="000000"/>
                <w:sz w:val="21"/>
                <w:szCs w:val="21"/>
              </w:rPr>
              <w:t>本课程是公共英语课程。通过课程的学习，学生应能掌握1600左右的常用词汇（包括入学时要求掌握的600词）和若干相关的常用词组及基础语法知识；能够听懂发音清楚、语速较慢的教学用语和日常生活用语，并能用英语进行简单的日常交谈；能够读懂所学词汇和语法范围内的故事、短文及通知、便条等；能够写出简短的私人信函，或用便条转达具体信息。</w:t>
            </w:r>
          </w:p>
        </w:tc>
        <w:tc>
          <w:tcPr>
            <w:tcW w:w="457"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708" w:type="dxa"/>
            <w:vAlign w:val="center"/>
          </w:tcPr>
          <w:p>
            <w:pPr>
              <w:ind w:firstLine="0" w:firstLineChars="0"/>
              <w:jc w:val="center"/>
              <w:rPr>
                <w:rFonts w:ascii="宋体" w:hAnsi="宋体"/>
                <w:color w:val="000000"/>
                <w:sz w:val="21"/>
                <w:szCs w:val="21"/>
              </w:rPr>
            </w:pPr>
            <w:r>
              <w:rPr>
                <w:rFonts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09"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tcBorders>
              <w:bottom w:val="single" w:color="auto" w:sz="8" w:space="0"/>
            </w:tcBorders>
            <w:vAlign w:val="center"/>
          </w:tcPr>
          <w:p>
            <w:pPr>
              <w:spacing w:line="240" w:lineRule="auto"/>
              <w:ind w:firstLine="0" w:firstLineChars="0"/>
              <w:jc w:val="center"/>
              <w:rPr>
                <w:rFonts w:ascii="宋体" w:hAnsi="宋体" w:cs="宋体"/>
                <w:color w:val="000000"/>
                <w:kern w:val="1"/>
              </w:rPr>
            </w:pPr>
            <w:r>
              <w:rPr>
                <w:rFonts w:hint="eastAsia" w:ascii="宋体" w:hAnsi="宋体" w:cs="宋体"/>
                <w:color w:val="000000"/>
                <w:kern w:val="1"/>
              </w:rPr>
              <w:t>高等</w:t>
            </w:r>
            <w:r>
              <w:rPr>
                <w:rFonts w:ascii="宋体" w:hAnsi="宋体" w:cs="宋体"/>
                <w:color w:val="000000"/>
                <w:kern w:val="1"/>
              </w:rPr>
              <w:t>数</w:t>
            </w:r>
            <w:r>
              <w:rPr>
                <w:rFonts w:hint="eastAsia" w:ascii="宋体" w:hAnsi="宋体" w:cs="宋体"/>
                <w:color w:val="000000"/>
                <w:kern w:val="1"/>
              </w:rPr>
              <w:t>学</w:t>
            </w:r>
            <w:r>
              <w:rPr>
                <w:rFonts w:ascii="宋体" w:hAnsi="宋体" w:cs="宋体"/>
                <w:color w:val="000000"/>
                <w:kern w:val="1"/>
              </w:rPr>
              <w:t>基础</w:t>
            </w:r>
          </w:p>
        </w:tc>
        <w:tc>
          <w:tcPr>
            <w:tcW w:w="7058" w:type="dxa"/>
            <w:tcBorders>
              <w:bottom w:val="single" w:color="auto" w:sz="8" w:space="0"/>
            </w:tcBorders>
            <w:vAlign w:val="center"/>
          </w:tcPr>
          <w:p>
            <w:pPr>
              <w:ind w:firstLine="420"/>
              <w:rPr>
                <w:rFonts w:ascii="宋体" w:hAnsi="宋体"/>
                <w:color w:val="000000"/>
                <w:sz w:val="21"/>
                <w:szCs w:val="21"/>
              </w:rPr>
            </w:pPr>
            <w:r>
              <w:rPr>
                <w:rFonts w:ascii="宋体" w:hAnsi="宋体"/>
                <w:color w:val="000000"/>
                <w:sz w:val="21"/>
                <w:szCs w:val="21"/>
              </w:rPr>
              <w:t>本课程</w:t>
            </w:r>
            <w:r>
              <w:rPr>
                <w:rFonts w:hint="eastAsia" w:ascii="宋体" w:hAnsi="宋体"/>
                <w:color w:val="000000"/>
                <w:sz w:val="21"/>
                <w:szCs w:val="21"/>
              </w:rPr>
              <w:t>是国家开放</w:t>
            </w:r>
            <w:r>
              <w:rPr>
                <w:rFonts w:ascii="宋体" w:hAnsi="宋体"/>
                <w:color w:val="000000"/>
                <w:sz w:val="21"/>
                <w:szCs w:val="21"/>
              </w:rPr>
              <w:t>大学工科专业的一门重要</w:t>
            </w:r>
            <w:r>
              <w:rPr>
                <w:rFonts w:hint="eastAsia" w:ascii="宋体" w:hAnsi="宋体"/>
                <w:color w:val="000000"/>
                <w:sz w:val="21"/>
                <w:szCs w:val="21"/>
              </w:rPr>
              <w:t>的</w:t>
            </w:r>
            <w:r>
              <w:rPr>
                <w:rFonts w:ascii="宋体" w:hAnsi="宋体"/>
                <w:color w:val="000000"/>
                <w:sz w:val="21"/>
                <w:szCs w:val="21"/>
              </w:rPr>
              <w:t>公共基础课，是为培养社会主义建设需要的高等职业技术人才服务的。</w:t>
            </w:r>
          </w:p>
          <w:p>
            <w:pPr>
              <w:ind w:firstLine="420"/>
              <w:rPr>
                <w:rFonts w:ascii="宋体" w:hAnsi="宋体"/>
                <w:color w:val="000000"/>
                <w:sz w:val="21"/>
                <w:szCs w:val="21"/>
              </w:rPr>
            </w:pPr>
            <w:r>
              <w:rPr>
                <w:rFonts w:ascii="宋体" w:hAnsi="宋体"/>
                <w:color w:val="000000"/>
                <w:sz w:val="21"/>
                <w:szCs w:val="21"/>
              </w:rPr>
              <w:t>本课程</w:t>
            </w:r>
            <w:r>
              <w:rPr>
                <w:rFonts w:hint="eastAsia" w:ascii="宋体" w:hAnsi="宋体"/>
                <w:color w:val="000000"/>
                <w:sz w:val="21"/>
                <w:szCs w:val="21"/>
              </w:rPr>
              <w:t>主要</w:t>
            </w:r>
            <w:r>
              <w:rPr>
                <w:rFonts w:ascii="宋体" w:hAnsi="宋体"/>
                <w:color w:val="000000"/>
                <w:sz w:val="21"/>
                <w:szCs w:val="21"/>
              </w:rPr>
              <w:t>介绍了函数、极限与连续、导数与微分、导数应用、不定积分和定积分及其应用。通过本课程的学习，使学生系统地获得一元函数微积分的基本知识，掌握必要的基础理论和常用的计算方法，使学生初步受到用数学方法解决实际问题的能力训练。</w:t>
            </w:r>
          </w:p>
        </w:tc>
        <w:tc>
          <w:tcPr>
            <w:tcW w:w="457" w:type="dxa"/>
            <w:tcBorders>
              <w:bottom w:val="single" w:color="auto" w:sz="8" w:space="0"/>
            </w:tcBorders>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3</w:t>
            </w:r>
          </w:p>
        </w:tc>
        <w:tc>
          <w:tcPr>
            <w:tcW w:w="708" w:type="dxa"/>
            <w:tcBorders>
              <w:bottom w:val="single" w:color="auto" w:sz="8" w:space="0"/>
            </w:tcBorders>
            <w:vAlign w:val="center"/>
          </w:tcPr>
          <w:p>
            <w:pPr>
              <w:ind w:firstLine="0" w:firstLineChars="0"/>
              <w:jc w:val="center"/>
              <w:rPr>
                <w:rFonts w:ascii="宋体" w:hAnsi="宋体"/>
                <w:color w:val="000000"/>
                <w:sz w:val="21"/>
                <w:szCs w:val="21"/>
              </w:rPr>
            </w:pPr>
            <w:r>
              <w:rPr>
                <w:rFonts w:hint="eastAsia"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09"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tcBorders>
              <w:top w:val="single" w:color="auto" w:sz="8" w:space="0"/>
              <w:bottom w:val="single" w:color="auto" w:sz="12" w:space="0"/>
            </w:tcBorders>
            <w:vAlign w:val="center"/>
          </w:tcPr>
          <w:p>
            <w:pPr>
              <w:spacing w:line="240" w:lineRule="auto"/>
              <w:ind w:firstLine="0" w:firstLineChars="0"/>
              <w:jc w:val="left"/>
              <w:rPr>
                <w:rFonts w:ascii="宋体" w:hAnsi="宋体" w:cs="宋体"/>
                <w:color w:val="000000"/>
                <w:kern w:val="1"/>
              </w:rPr>
            </w:pPr>
            <w:r>
              <w:rPr>
                <w:rFonts w:ascii="宋体" w:hAnsi="宋体" w:cs="宋体"/>
                <w:color w:val="000000"/>
                <w:kern w:val="1"/>
              </w:rPr>
              <w:t>计算机</w:t>
            </w:r>
            <w:r>
              <w:rPr>
                <w:rFonts w:hint="eastAsia" w:ascii="宋体" w:hAnsi="宋体" w:cs="宋体"/>
                <w:color w:val="000000"/>
                <w:kern w:val="1"/>
              </w:rPr>
              <w:t>文化</w:t>
            </w:r>
            <w:r>
              <w:rPr>
                <w:rFonts w:ascii="宋体" w:hAnsi="宋体" w:cs="宋体"/>
                <w:color w:val="000000"/>
                <w:kern w:val="1"/>
              </w:rPr>
              <w:t>基础</w:t>
            </w:r>
          </w:p>
        </w:tc>
        <w:tc>
          <w:tcPr>
            <w:tcW w:w="7058" w:type="dxa"/>
            <w:tcBorders>
              <w:top w:val="single" w:color="auto" w:sz="8" w:space="0"/>
              <w:bottom w:val="single" w:color="auto" w:sz="12" w:space="0"/>
            </w:tcBorders>
            <w:vAlign w:val="center"/>
          </w:tcPr>
          <w:p>
            <w:pPr>
              <w:ind w:firstLine="420"/>
              <w:rPr>
                <w:rFonts w:ascii="宋体" w:hAnsi="宋体"/>
                <w:color w:val="000000"/>
                <w:sz w:val="21"/>
                <w:szCs w:val="21"/>
              </w:rPr>
            </w:pPr>
            <w:r>
              <w:rPr>
                <w:rFonts w:ascii="宋体" w:hAnsi="宋体"/>
                <w:color w:val="000000"/>
                <w:sz w:val="21"/>
                <w:szCs w:val="21"/>
              </w:rPr>
              <w:t>本课程</w:t>
            </w:r>
            <w:r>
              <w:rPr>
                <w:rFonts w:hint="eastAsia" w:ascii="宋体" w:hAnsi="宋体"/>
                <w:color w:val="000000"/>
                <w:sz w:val="21"/>
                <w:szCs w:val="21"/>
              </w:rPr>
              <w:t>是安全技术</w:t>
            </w:r>
            <w:r>
              <w:rPr>
                <w:rFonts w:ascii="宋体" w:hAnsi="宋体"/>
                <w:color w:val="000000"/>
                <w:sz w:val="21"/>
                <w:szCs w:val="21"/>
              </w:rPr>
              <w:t>与管理</w:t>
            </w:r>
            <w:r>
              <w:rPr>
                <w:rFonts w:hint="eastAsia" w:ascii="宋体" w:hAnsi="宋体"/>
                <w:color w:val="000000"/>
                <w:sz w:val="21"/>
                <w:szCs w:val="21"/>
              </w:rPr>
              <w:t>专业的一门公共基础课程。该课程的教学目的在于其主要作用是使非专业学生具备必须的信息意识和素养，了解计算机和网络的基本常识，具备计算机和网络技术的基本应用技能，具有文字处理、数据处理能力，信息获取、整合、加工能力等较全面的信息处理能力，以计算机和网络应用技术做工具为其专业学习服务，提高专业续航能力，同时为其今后的职业工作、生活和可持续发展奠定信息技术应用基础。</w:t>
            </w:r>
          </w:p>
        </w:tc>
        <w:tc>
          <w:tcPr>
            <w:tcW w:w="457" w:type="dxa"/>
            <w:tcBorders>
              <w:top w:val="single" w:color="auto" w:sz="8" w:space="0"/>
              <w:bottom w:val="single" w:color="auto" w:sz="12" w:space="0"/>
            </w:tcBorders>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708" w:type="dxa"/>
            <w:tcBorders>
              <w:top w:val="single" w:color="auto" w:sz="8" w:space="0"/>
              <w:bottom w:val="single" w:color="auto" w:sz="12" w:space="0"/>
            </w:tcBorders>
            <w:vAlign w:val="center"/>
          </w:tcPr>
          <w:p>
            <w:pPr>
              <w:ind w:firstLine="0" w:firstLineChars="0"/>
              <w:jc w:val="center"/>
              <w:rPr>
                <w:rFonts w:ascii="宋体" w:hAnsi="宋体"/>
                <w:color w:val="000000"/>
                <w:sz w:val="21"/>
                <w:szCs w:val="21"/>
              </w:rPr>
            </w:pPr>
            <w:r>
              <w:rPr>
                <w:rFonts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9782" w:type="dxa"/>
            <w:gridSpan w:val="5"/>
            <w:tcBorders>
              <w:top w:val="single" w:color="auto" w:sz="12" w:space="0"/>
              <w:left w:val="nil"/>
              <w:right w:val="nil"/>
            </w:tcBorders>
            <w:vAlign w:val="center"/>
          </w:tcPr>
          <w:p>
            <w:pPr>
              <w:ind w:firstLine="0" w:firstLineChars="0"/>
              <w:rPr>
                <w:rFonts w:eastAsia="方正书宋简体"/>
                <w:color w:val="000000"/>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c>
          <w:tcPr>
            <w:tcW w:w="709" w:type="dxa"/>
            <w:vMerge w:val="restart"/>
            <w:tcBorders>
              <w:top w:val="single" w:color="auto" w:sz="12" w:space="0"/>
            </w:tcBorders>
            <w:vAlign w:val="center"/>
          </w:tcPr>
          <w:p>
            <w:pPr>
              <w:ind w:firstLine="0" w:firstLineChars="0"/>
              <w:jc w:val="left"/>
              <w:rPr>
                <w:rFonts w:ascii="宋体" w:hAnsi="宋体"/>
                <w:color w:val="000000"/>
              </w:rPr>
            </w:pPr>
            <w:r>
              <w:rPr>
                <w:rFonts w:hint="eastAsia" w:ascii="宋体" w:hAnsi="宋体"/>
                <w:color w:val="000000"/>
              </w:rPr>
              <w:t>专业</w:t>
            </w:r>
            <w:r>
              <w:rPr>
                <w:rFonts w:ascii="宋体" w:hAnsi="宋体"/>
                <w:color w:val="000000"/>
              </w:rPr>
              <w:t>基础课</w:t>
            </w:r>
          </w:p>
        </w:tc>
        <w:tc>
          <w:tcPr>
            <w:tcW w:w="850" w:type="dxa"/>
            <w:tcBorders>
              <w:top w:val="single" w:color="auto" w:sz="12" w:space="0"/>
            </w:tcBorders>
            <w:vAlign w:val="center"/>
          </w:tcPr>
          <w:p>
            <w:pPr>
              <w:spacing w:line="240" w:lineRule="auto"/>
              <w:ind w:firstLine="0" w:firstLineChars="0"/>
              <w:jc w:val="center"/>
              <w:rPr>
                <w:rFonts w:ascii="宋体" w:hAnsi="宋体" w:cs="宋体"/>
                <w:color w:val="000000"/>
                <w:kern w:val="1"/>
              </w:rPr>
            </w:pPr>
            <w:r>
              <w:rPr>
                <w:rFonts w:hint="eastAsia" w:ascii="宋体" w:hAnsi="宋体" w:cs="宋体"/>
                <w:color w:val="000000"/>
                <w:kern w:val="1"/>
              </w:rPr>
              <w:t>工程制图基础</w:t>
            </w:r>
          </w:p>
        </w:tc>
        <w:tc>
          <w:tcPr>
            <w:tcW w:w="7058" w:type="dxa"/>
            <w:tcBorders>
              <w:top w:val="single" w:color="auto" w:sz="12" w:space="0"/>
            </w:tcBorders>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课程主要介绍画法几何的理论基础，并突出工程实际的概念</w:t>
            </w:r>
            <w:r>
              <w:rPr>
                <w:rFonts w:hint="eastAsia" w:ascii="宋体" w:hAnsi="宋体"/>
                <w:color w:val="000000"/>
                <w:sz w:val="21"/>
                <w:szCs w:val="21"/>
              </w:rPr>
              <w:t>，</w:t>
            </w:r>
            <w:r>
              <w:rPr>
                <w:rFonts w:ascii="宋体" w:hAnsi="宋体"/>
                <w:color w:val="000000"/>
                <w:sz w:val="21"/>
                <w:szCs w:val="21"/>
              </w:rPr>
              <w:t>文字叙述详尽，配图恰当</w:t>
            </w:r>
            <w:r>
              <w:rPr>
                <w:rFonts w:hint="eastAsia" w:ascii="宋体" w:hAnsi="宋体"/>
                <w:color w:val="000000"/>
                <w:sz w:val="21"/>
                <w:szCs w:val="21"/>
              </w:rPr>
              <w:t>，并</w:t>
            </w:r>
            <w:r>
              <w:rPr>
                <w:rFonts w:ascii="宋体" w:hAnsi="宋体"/>
                <w:color w:val="000000"/>
                <w:sz w:val="21"/>
                <w:szCs w:val="21"/>
              </w:rPr>
              <w:t>介绍现代计算机绘图技术和方法</w:t>
            </w:r>
            <w:r>
              <w:rPr>
                <w:rFonts w:hint="eastAsia" w:ascii="宋体" w:hAnsi="宋体"/>
                <w:color w:val="000000"/>
                <w:sz w:val="21"/>
                <w:szCs w:val="21"/>
              </w:rPr>
              <w:t>，同</w:t>
            </w:r>
            <w:r>
              <w:rPr>
                <w:rFonts w:ascii="宋体" w:hAnsi="宋体"/>
                <w:color w:val="000000"/>
                <w:sz w:val="21"/>
                <w:szCs w:val="21"/>
              </w:rPr>
              <w:t>时强调工程草图的作用</w:t>
            </w:r>
            <w:r>
              <w:rPr>
                <w:rFonts w:hint="eastAsia" w:ascii="宋体" w:hAnsi="宋体"/>
                <w:color w:val="000000"/>
                <w:sz w:val="21"/>
                <w:szCs w:val="21"/>
              </w:rPr>
              <w:t>。</w:t>
            </w:r>
            <w:r>
              <w:rPr>
                <w:rFonts w:ascii="宋体" w:hAnsi="宋体"/>
                <w:color w:val="000000"/>
                <w:sz w:val="21"/>
                <w:szCs w:val="21"/>
              </w:rPr>
              <w:t>内容包括</w:t>
            </w:r>
            <w:r>
              <w:rPr>
                <w:rFonts w:hint="eastAsia" w:ascii="宋体" w:hAnsi="宋体"/>
                <w:color w:val="000000"/>
                <w:sz w:val="21"/>
                <w:szCs w:val="21"/>
              </w:rPr>
              <w:t>：</w:t>
            </w:r>
            <w:r>
              <w:rPr>
                <w:rFonts w:ascii="宋体" w:hAnsi="宋体"/>
                <w:color w:val="000000"/>
                <w:sz w:val="21"/>
                <w:szCs w:val="21"/>
              </w:rPr>
              <w:t>制图基本知识，投影基础，立体的截切与相贯、组合体、轴测图，机件常用的表达方法、标准件与常用件、零件图、装配图、AutoCAD绘图简介、电子电器制图简介等。</w:t>
            </w:r>
          </w:p>
        </w:tc>
        <w:tc>
          <w:tcPr>
            <w:tcW w:w="457" w:type="dxa"/>
            <w:tcBorders>
              <w:top w:val="single" w:color="auto" w:sz="12" w:space="0"/>
            </w:tcBorders>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c>
          <w:tcPr>
            <w:tcW w:w="708" w:type="dxa"/>
            <w:tcBorders>
              <w:top w:val="single" w:color="auto" w:sz="12" w:space="0"/>
            </w:tcBorders>
            <w:vAlign w:val="center"/>
          </w:tcPr>
          <w:p>
            <w:pPr>
              <w:ind w:firstLine="0" w:firstLineChars="0"/>
              <w:jc w:val="center"/>
              <w:rPr>
                <w:rFonts w:ascii="宋体" w:hAnsi="宋体"/>
                <w:color w:val="000000"/>
                <w:sz w:val="21"/>
                <w:szCs w:val="21"/>
              </w:rPr>
            </w:pPr>
            <w:r>
              <w:rPr>
                <w:rFonts w:hint="eastAsia"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79" w:hRule="atLeast"/>
        </w:trPr>
        <w:tc>
          <w:tcPr>
            <w:tcW w:w="709"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vAlign w:val="center"/>
          </w:tcPr>
          <w:p>
            <w:pPr>
              <w:spacing w:line="240" w:lineRule="auto"/>
              <w:ind w:firstLine="0" w:firstLineChars="0"/>
              <w:jc w:val="center"/>
              <w:rPr>
                <w:rFonts w:ascii="Calibri" w:hAnsi="Calibri"/>
                <w:color w:val="000000"/>
              </w:rPr>
            </w:pPr>
            <w:r>
              <w:rPr>
                <w:rFonts w:ascii="Calibri" w:hAnsi="Calibri"/>
                <w:color w:val="000000"/>
              </w:rPr>
              <w:t>安全系统工程</w:t>
            </w:r>
          </w:p>
        </w:tc>
        <w:tc>
          <w:tcPr>
            <w:tcW w:w="7058" w:type="dxa"/>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系统地介绍系统安全分析、伤亡事故统计分析、安全评价实务、系统安全决策与危险控制等基本概念、原理及方法。此外，还特别结合矿山生产工艺系统安全技术与管理工作，兼顾矿物加工技术及尾矿设施管理系统安全，介绍了大量的应用实例。</w:t>
            </w:r>
          </w:p>
        </w:tc>
        <w:tc>
          <w:tcPr>
            <w:tcW w:w="457" w:type="dxa"/>
            <w:vAlign w:val="center"/>
          </w:tcPr>
          <w:p>
            <w:pPr>
              <w:ind w:firstLine="0" w:firstLineChars="0"/>
              <w:rPr>
                <w:rFonts w:ascii="宋体" w:hAnsi="宋体"/>
                <w:color w:val="000000"/>
                <w:sz w:val="21"/>
                <w:szCs w:val="21"/>
              </w:rPr>
            </w:pPr>
            <w:r>
              <w:rPr>
                <w:rFonts w:ascii="宋体" w:hAnsi="宋体"/>
                <w:color w:val="000000"/>
                <w:sz w:val="21"/>
                <w:szCs w:val="21"/>
              </w:rPr>
              <w:t>3</w:t>
            </w:r>
          </w:p>
        </w:tc>
        <w:tc>
          <w:tcPr>
            <w:tcW w:w="708" w:type="dxa"/>
            <w:vAlign w:val="center"/>
          </w:tcPr>
          <w:p>
            <w:pPr>
              <w:ind w:firstLine="0" w:firstLineChars="0"/>
              <w:rPr>
                <w:rFonts w:ascii="宋体" w:hAnsi="宋体"/>
                <w:color w:val="000000"/>
                <w:sz w:val="21"/>
                <w:szCs w:val="21"/>
              </w:rPr>
            </w:pPr>
            <w:r>
              <w:rPr>
                <w:rFonts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09" w:type="dxa"/>
            <w:vMerge w:val="continue"/>
            <w:vAlign w:val="center"/>
          </w:tcPr>
          <w:p>
            <w:pPr>
              <w:spacing w:line="280" w:lineRule="exact"/>
              <w:ind w:firstLine="0" w:firstLineChars="0"/>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hint="eastAsia" w:ascii="宋体" w:hAnsi="宋体" w:cs="宋体"/>
                <w:color w:val="000000"/>
                <w:kern w:val="1"/>
              </w:rPr>
              <w:t>安全</w:t>
            </w:r>
            <w:r>
              <w:rPr>
                <w:rFonts w:ascii="宋体" w:hAnsi="宋体" w:cs="宋体"/>
                <w:color w:val="000000"/>
                <w:kern w:val="1"/>
              </w:rPr>
              <w:t>管理</w:t>
            </w:r>
          </w:p>
        </w:tc>
        <w:tc>
          <w:tcPr>
            <w:tcW w:w="7058" w:type="dxa"/>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w:t>
            </w:r>
            <w:r>
              <w:rPr>
                <w:rFonts w:hint="eastAsia" w:ascii="宋体" w:hAnsi="宋体"/>
                <w:color w:val="000000"/>
                <w:sz w:val="21"/>
                <w:szCs w:val="21"/>
              </w:rPr>
              <w:t>主要</w:t>
            </w:r>
            <w:r>
              <w:rPr>
                <w:rFonts w:ascii="宋体" w:hAnsi="宋体"/>
                <w:color w:val="000000"/>
                <w:sz w:val="21"/>
                <w:szCs w:val="21"/>
              </w:rPr>
              <w:t>介绍安全管理学理论基础</w:t>
            </w:r>
            <w:r>
              <w:rPr>
                <w:rFonts w:hint="eastAsia" w:ascii="宋体" w:hAnsi="宋体"/>
                <w:color w:val="000000"/>
                <w:sz w:val="21"/>
                <w:szCs w:val="21"/>
              </w:rPr>
              <w:t>、</w:t>
            </w:r>
            <w:r>
              <w:rPr>
                <w:rFonts w:ascii="宋体" w:hAnsi="宋体"/>
                <w:color w:val="000000"/>
                <w:sz w:val="21"/>
                <w:szCs w:val="21"/>
              </w:rPr>
              <w:t>安全文化</w:t>
            </w:r>
            <w:r>
              <w:rPr>
                <w:rFonts w:hint="eastAsia" w:ascii="宋体" w:hAnsi="宋体"/>
                <w:color w:val="000000"/>
                <w:sz w:val="21"/>
                <w:szCs w:val="21"/>
              </w:rPr>
              <w:t>、</w:t>
            </w:r>
            <w:r>
              <w:rPr>
                <w:rFonts w:ascii="宋体" w:hAnsi="宋体"/>
                <w:color w:val="000000"/>
                <w:sz w:val="21"/>
                <w:szCs w:val="21"/>
              </w:rPr>
              <w:t>安全管理方法</w:t>
            </w:r>
            <w:r>
              <w:rPr>
                <w:rFonts w:hint="eastAsia" w:ascii="宋体" w:hAnsi="宋体"/>
                <w:color w:val="000000"/>
                <w:sz w:val="21"/>
                <w:szCs w:val="21"/>
              </w:rPr>
              <w:t>、</w:t>
            </w:r>
            <w:r>
              <w:rPr>
                <w:rFonts w:ascii="宋体" w:hAnsi="宋体"/>
                <w:color w:val="000000"/>
                <w:sz w:val="21"/>
                <w:szCs w:val="21"/>
              </w:rPr>
              <w:t>安全目标管理</w:t>
            </w:r>
            <w:r>
              <w:rPr>
                <w:rFonts w:hint="eastAsia" w:ascii="宋体" w:hAnsi="宋体"/>
                <w:color w:val="000000"/>
                <w:sz w:val="21"/>
                <w:szCs w:val="21"/>
              </w:rPr>
              <w:t>、</w:t>
            </w:r>
            <w:r>
              <w:rPr>
                <w:rFonts w:ascii="宋体" w:hAnsi="宋体"/>
                <w:color w:val="000000"/>
                <w:sz w:val="21"/>
                <w:szCs w:val="21"/>
              </w:rPr>
              <w:t>系统安全管理</w:t>
            </w:r>
            <w:r>
              <w:rPr>
                <w:rFonts w:hint="eastAsia" w:ascii="宋体" w:hAnsi="宋体"/>
                <w:color w:val="000000"/>
                <w:sz w:val="21"/>
                <w:szCs w:val="21"/>
              </w:rPr>
              <w:t>、</w:t>
            </w:r>
            <w:r>
              <w:rPr>
                <w:rFonts w:ascii="宋体" w:hAnsi="宋体"/>
                <w:color w:val="000000"/>
                <w:sz w:val="21"/>
                <w:szCs w:val="21"/>
              </w:rPr>
              <w:t>安全生产法规</w:t>
            </w:r>
            <w:r>
              <w:rPr>
                <w:rFonts w:hint="eastAsia" w:ascii="宋体" w:hAnsi="宋体"/>
                <w:color w:val="000000"/>
                <w:sz w:val="21"/>
                <w:szCs w:val="21"/>
              </w:rPr>
              <w:t>、</w:t>
            </w:r>
            <w:r>
              <w:rPr>
                <w:rFonts w:ascii="宋体" w:hAnsi="宋体"/>
                <w:color w:val="000000"/>
                <w:sz w:val="21"/>
                <w:szCs w:val="21"/>
              </w:rPr>
              <w:t>职业安全健康管理体系</w:t>
            </w:r>
            <w:r>
              <w:rPr>
                <w:rFonts w:hint="eastAsia" w:ascii="宋体" w:hAnsi="宋体"/>
                <w:color w:val="000000"/>
                <w:sz w:val="21"/>
                <w:szCs w:val="21"/>
              </w:rPr>
              <w:t>、</w:t>
            </w:r>
            <w:r>
              <w:rPr>
                <w:rFonts w:ascii="宋体" w:hAnsi="宋体"/>
                <w:color w:val="000000"/>
                <w:sz w:val="21"/>
                <w:szCs w:val="21"/>
              </w:rPr>
              <w:t>安全信息管理</w:t>
            </w:r>
            <w:r>
              <w:rPr>
                <w:rFonts w:hint="eastAsia" w:ascii="宋体" w:hAnsi="宋体"/>
                <w:color w:val="000000"/>
                <w:sz w:val="21"/>
                <w:szCs w:val="21"/>
              </w:rPr>
              <w:t>、</w:t>
            </w:r>
            <w:r>
              <w:rPr>
                <w:rFonts w:ascii="宋体" w:hAnsi="宋体"/>
                <w:color w:val="000000"/>
                <w:sz w:val="21"/>
                <w:szCs w:val="21"/>
              </w:rPr>
              <w:t>事故统计及分析</w:t>
            </w:r>
            <w:r>
              <w:rPr>
                <w:rFonts w:hint="eastAsia" w:ascii="宋体" w:hAnsi="宋体"/>
                <w:color w:val="000000"/>
                <w:sz w:val="21"/>
                <w:szCs w:val="21"/>
              </w:rPr>
              <w:t>、</w:t>
            </w:r>
            <w:r>
              <w:rPr>
                <w:rFonts w:ascii="宋体" w:hAnsi="宋体"/>
                <w:color w:val="000000"/>
                <w:sz w:val="21"/>
                <w:szCs w:val="21"/>
              </w:rPr>
              <w:t>事故调查与处理</w:t>
            </w:r>
            <w:r>
              <w:rPr>
                <w:rFonts w:hint="eastAsia" w:ascii="宋体" w:hAnsi="宋体"/>
                <w:color w:val="000000"/>
                <w:sz w:val="21"/>
                <w:szCs w:val="21"/>
              </w:rPr>
              <w:t>、</w:t>
            </w:r>
            <w:r>
              <w:rPr>
                <w:rFonts w:ascii="宋体" w:hAnsi="宋体"/>
                <w:color w:val="000000"/>
                <w:sz w:val="21"/>
                <w:szCs w:val="21"/>
              </w:rPr>
              <w:t>事故预防与控制</w:t>
            </w:r>
            <w:r>
              <w:rPr>
                <w:rFonts w:hint="eastAsia" w:ascii="宋体" w:hAnsi="宋体"/>
                <w:color w:val="000000"/>
                <w:sz w:val="21"/>
                <w:szCs w:val="21"/>
              </w:rPr>
              <w:t>、</w:t>
            </w:r>
            <w:r>
              <w:rPr>
                <w:rFonts w:ascii="宋体" w:hAnsi="宋体"/>
                <w:color w:val="000000"/>
                <w:sz w:val="21"/>
                <w:szCs w:val="21"/>
              </w:rPr>
              <w:t>灾害事件与事故应急管理</w:t>
            </w:r>
            <w:r>
              <w:rPr>
                <w:rFonts w:hint="eastAsia" w:ascii="宋体" w:hAnsi="宋体"/>
                <w:color w:val="000000"/>
                <w:sz w:val="21"/>
                <w:szCs w:val="21"/>
              </w:rPr>
              <w:t>、</w:t>
            </w:r>
            <w:r>
              <w:rPr>
                <w:rFonts w:ascii="宋体" w:hAnsi="宋体"/>
                <w:color w:val="000000"/>
                <w:sz w:val="21"/>
                <w:szCs w:val="21"/>
              </w:rPr>
              <w:t>现代安全管理方法的新发展。</w:t>
            </w:r>
          </w:p>
        </w:tc>
        <w:tc>
          <w:tcPr>
            <w:tcW w:w="457" w:type="dxa"/>
            <w:vAlign w:val="center"/>
          </w:tcPr>
          <w:p>
            <w:pPr>
              <w:ind w:firstLine="0" w:firstLineChars="0"/>
              <w:rPr>
                <w:rFonts w:ascii="宋体" w:hAnsi="宋体"/>
                <w:color w:val="000000"/>
                <w:kern w:val="1"/>
                <w:sz w:val="21"/>
                <w:szCs w:val="21"/>
              </w:rPr>
            </w:pPr>
            <w:r>
              <w:rPr>
                <w:rFonts w:ascii="宋体" w:hAnsi="宋体"/>
                <w:color w:val="000000"/>
                <w:kern w:val="1"/>
                <w:sz w:val="21"/>
                <w:szCs w:val="21"/>
              </w:rPr>
              <w:t>4</w:t>
            </w:r>
          </w:p>
        </w:tc>
        <w:tc>
          <w:tcPr>
            <w:tcW w:w="708" w:type="dxa"/>
            <w:vAlign w:val="center"/>
          </w:tcPr>
          <w:p>
            <w:pPr>
              <w:ind w:firstLine="0" w:firstLineChars="0"/>
              <w:rPr>
                <w:rFonts w:ascii="宋体" w:hAnsi="宋体"/>
                <w:color w:val="000000"/>
                <w:sz w:val="21"/>
                <w:szCs w:val="21"/>
              </w:rPr>
            </w:pPr>
            <w:r>
              <w:rPr>
                <w:rFonts w:ascii="宋体" w:hAnsi="宋体"/>
                <w:color w:val="000000"/>
                <w:sz w:val="21"/>
                <w:szCs w:val="21"/>
              </w:rPr>
              <w:t>72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09" w:type="dxa"/>
            <w:vMerge w:val="continue"/>
            <w:vAlign w:val="center"/>
          </w:tcPr>
          <w:p>
            <w:pPr>
              <w:spacing w:line="280" w:lineRule="exact"/>
              <w:ind w:firstLine="0" w:firstLineChars="0"/>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ascii="宋体" w:hAnsi="宋体" w:cs="宋体"/>
                <w:color w:val="000000"/>
                <w:kern w:val="1"/>
              </w:rPr>
              <w:t>安全原理</w:t>
            </w:r>
          </w:p>
        </w:tc>
        <w:tc>
          <w:tcPr>
            <w:tcW w:w="7058" w:type="dxa"/>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课程引入行为科学与安全生产有关的理论，为防止人失误，介绍安全人机学、安全心理学基本知识，以人为本的</w:t>
            </w:r>
            <w:r>
              <w:rPr>
                <w:rFonts w:hint="eastAsia" w:ascii="宋体" w:hAnsi="宋体"/>
                <w:color w:val="000000"/>
                <w:sz w:val="21"/>
                <w:szCs w:val="21"/>
              </w:rPr>
              <w:t>“</w:t>
            </w:r>
            <w:r>
              <w:rPr>
                <w:rFonts w:ascii="宋体" w:hAnsi="宋体"/>
                <w:color w:val="000000"/>
                <w:sz w:val="21"/>
                <w:szCs w:val="21"/>
              </w:rPr>
              <w:t>人本安全原理</w:t>
            </w:r>
            <w:r>
              <w:rPr>
                <w:rFonts w:hint="eastAsia" w:ascii="宋体" w:hAnsi="宋体"/>
                <w:color w:val="000000"/>
                <w:sz w:val="21"/>
                <w:szCs w:val="21"/>
              </w:rPr>
              <w:t>”</w:t>
            </w:r>
            <w:r>
              <w:rPr>
                <w:rFonts w:ascii="宋体" w:hAnsi="宋体"/>
                <w:color w:val="000000"/>
                <w:sz w:val="21"/>
                <w:szCs w:val="21"/>
              </w:rPr>
              <w:t>；物质、设备安全的</w:t>
            </w:r>
            <w:r>
              <w:rPr>
                <w:rFonts w:hint="eastAsia" w:ascii="宋体" w:hAnsi="宋体"/>
                <w:color w:val="000000"/>
                <w:sz w:val="21"/>
                <w:szCs w:val="21"/>
              </w:rPr>
              <w:t>“</w:t>
            </w:r>
            <w:r>
              <w:rPr>
                <w:rFonts w:ascii="宋体" w:hAnsi="宋体"/>
                <w:color w:val="000000"/>
                <w:sz w:val="21"/>
                <w:szCs w:val="21"/>
              </w:rPr>
              <w:t>物流安全原理</w:t>
            </w:r>
            <w:r>
              <w:rPr>
                <w:rFonts w:hint="eastAsia" w:ascii="宋体" w:hAnsi="宋体"/>
                <w:color w:val="000000"/>
                <w:sz w:val="21"/>
                <w:szCs w:val="21"/>
              </w:rPr>
              <w:t>”</w:t>
            </w:r>
            <w:r>
              <w:rPr>
                <w:rFonts w:ascii="宋体" w:hAnsi="宋体"/>
                <w:color w:val="000000"/>
                <w:sz w:val="21"/>
                <w:szCs w:val="21"/>
              </w:rPr>
              <w:t>和安全信息。</w:t>
            </w:r>
          </w:p>
        </w:tc>
        <w:tc>
          <w:tcPr>
            <w:tcW w:w="457" w:type="dxa"/>
            <w:vAlign w:val="center"/>
          </w:tcPr>
          <w:p>
            <w:pPr>
              <w:ind w:firstLine="0" w:firstLineChars="0"/>
              <w:rPr>
                <w:rFonts w:ascii="宋体" w:hAnsi="宋体"/>
                <w:color w:val="000000"/>
                <w:kern w:val="1"/>
                <w:sz w:val="21"/>
                <w:szCs w:val="21"/>
              </w:rPr>
            </w:pPr>
            <w:r>
              <w:rPr>
                <w:rFonts w:ascii="宋体" w:hAnsi="宋体"/>
                <w:color w:val="000000"/>
                <w:kern w:val="1"/>
                <w:sz w:val="21"/>
                <w:szCs w:val="21"/>
              </w:rPr>
              <w:t>4</w:t>
            </w:r>
          </w:p>
        </w:tc>
        <w:tc>
          <w:tcPr>
            <w:tcW w:w="708" w:type="dxa"/>
            <w:vAlign w:val="center"/>
          </w:tcPr>
          <w:p>
            <w:pPr>
              <w:ind w:firstLine="0" w:firstLineChars="0"/>
              <w:rPr>
                <w:rFonts w:ascii="宋体" w:hAnsi="宋体"/>
                <w:color w:val="000000"/>
                <w:sz w:val="21"/>
                <w:szCs w:val="21"/>
              </w:rPr>
            </w:pPr>
            <w:r>
              <w:rPr>
                <w:rFonts w:ascii="宋体" w:hAnsi="宋体"/>
                <w:color w:val="000000"/>
                <w:sz w:val="21"/>
                <w:szCs w:val="21"/>
              </w:rPr>
              <w:t>72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09" w:type="dxa"/>
            <w:vMerge w:val="continue"/>
            <w:vAlign w:val="center"/>
          </w:tcPr>
          <w:p>
            <w:pPr>
              <w:spacing w:line="280" w:lineRule="exact"/>
              <w:ind w:firstLine="0" w:firstLineChars="0"/>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ascii="宋体" w:hAnsi="宋体" w:cs="宋体"/>
                <w:color w:val="000000"/>
                <w:kern w:val="1"/>
              </w:rPr>
              <w:t>安全人机工程</w:t>
            </w:r>
          </w:p>
        </w:tc>
        <w:tc>
          <w:tcPr>
            <w:tcW w:w="7058" w:type="dxa"/>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课程是运用人机工程学的理论和方法研究“人机环境”系统，并使三者在安全的基础上达到最佳匹配，以确保系统高效、经济运作的一门综合性的科学。</w:t>
            </w:r>
          </w:p>
        </w:tc>
        <w:tc>
          <w:tcPr>
            <w:tcW w:w="457" w:type="dxa"/>
            <w:vAlign w:val="center"/>
          </w:tcPr>
          <w:p>
            <w:pPr>
              <w:ind w:firstLine="0" w:firstLineChars="0"/>
              <w:rPr>
                <w:rFonts w:ascii="宋体" w:hAnsi="宋体"/>
                <w:color w:val="000000"/>
                <w:kern w:val="1"/>
                <w:sz w:val="21"/>
                <w:szCs w:val="21"/>
              </w:rPr>
            </w:pPr>
            <w:r>
              <w:rPr>
                <w:rFonts w:ascii="宋体" w:hAnsi="宋体"/>
                <w:color w:val="000000"/>
                <w:kern w:val="1"/>
                <w:sz w:val="21"/>
                <w:szCs w:val="21"/>
              </w:rPr>
              <w:t>3</w:t>
            </w:r>
          </w:p>
        </w:tc>
        <w:tc>
          <w:tcPr>
            <w:tcW w:w="708" w:type="dxa"/>
            <w:vAlign w:val="center"/>
          </w:tcPr>
          <w:p>
            <w:pPr>
              <w:ind w:firstLine="0" w:firstLineChars="0"/>
              <w:rPr>
                <w:rFonts w:ascii="宋体" w:hAnsi="宋体"/>
                <w:color w:val="000000"/>
                <w:sz w:val="21"/>
                <w:szCs w:val="21"/>
              </w:rPr>
            </w:pPr>
            <w:r>
              <w:rPr>
                <w:rFonts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51" w:hRule="atLeast"/>
        </w:trPr>
        <w:tc>
          <w:tcPr>
            <w:tcW w:w="709" w:type="dxa"/>
            <w:vMerge w:val="continue"/>
            <w:vAlign w:val="center"/>
          </w:tcPr>
          <w:p>
            <w:pPr>
              <w:spacing w:line="280" w:lineRule="exact"/>
              <w:ind w:firstLine="0" w:firstLineChars="0"/>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ascii="宋体" w:hAnsi="宋体" w:cs="宋体"/>
                <w:color w:val="000000"/>
                <w:kern w:val="1"/>
              </w:rPr>
              <w:t>工业通风及除</w:t>
            </w:r>
          </w:p>
          <w:p>
            <w:pPr>
              <w:spacing w:line="240" w:lineRule="auto"/>
              <w:ind w:firstLine="0" w:firstLineChars="0"/>
              <w:rPr>
                <w:rFonts w:ascii="宋体" w:hAnsi="宋体" w:cs="宋体"/>
                <w:color w:val="000000"/>
                <w:kern w:val="1"/>
              </w:rPr>
            </w:pPr>
            <w:r>
              <w:rPr>
                <w:rFonts w:ascii="宋体" w:hAnsi="宋体" w:cs="宋体"/>
                <w:color w:val="000000"/>
                <w:kern w:val="1"/>
              </w:rPr>
              <w:t>尘</w:t>
            </w:r>
          </w:p>
        </w:tc>
        <w:tc>
          <w:tcPr>
            <w:tcW w:w="705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系统地论述适用于各行业通风除尘的通用基本理论与方法,主要内容涉及作业场所空气与粉尘、空气流动压力与阻力、通风动力、通风设施、通风系统及其风量调节、粉尘综合防治、除尘装置、通风设计、通风与粉尘测定等。 </w:t>
            </w:r>
          </w:p>
        </w:tc>
        <w:tc>
          <w:tcPr>
            <w:tcW w:w="457" w:type="dxa"/>
            <w:vAlign w:val="center"/>
          </w:tcPr>
          <w:p>
            <w:pPr>
              <w:ind w:firstLine="0" w:firstLineChars="0"/>
              <w:rPr>
                <w:rFonts w:ascii="宋体" w:hAnsi="宋体"/>
                <w:color w:val="000000"/>
                <w:kern w:val="1"/>
                <w:sz w:val="21"/>
                <w:szCs w:val="21"/>
              </w:rPr>
            </w:pPr>
            <w:r>
              <w:rPr>
                <w:rFonts w:ascii="宋体" w:hAnsi="宋体"/>
                <w:color w:val="000000"/>
                <w:kern w:val="1"/>
                <w:sz w:val="21"/>
                <w:szCs w:val="21"/>
              </w:rPr>
              <w:t>3</w:t>
            </w:r>
          </w:p>
        </w:tc>
        <w:tc>
          <w:tcPr>
            <w:tcW w:w="708" w:type="dxa"/>
            <w:vAlign w:val="center"/>
          </w:tcPr>
          <w:p>
            <w:pPr>
              <w:snapToGrid w:val="0"/>
              <w:ind w:firstLine="0" w:firstLineChars="0"/>
              <w:rPr>
                <w:rFonts w:ascii="宋体" w:hAnsi="宋体"/>
                <w:color w:val="000000"/>
                <w:sz w:val="21"/>
                <w:szCs w:val="21"/>
              </w:rPr>
            </w:pPr>
            <w:r>
              <w:rPr>
                <w:rFonts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51" w:hRule="atLeast"/>
        </w:trPr>
        <w:tc>
          <w:tcPr>
            <w:tcW w:w="709" w:type="dxa"/>
            <w:vMerge w:val="continue"/>
            <w:vAlign w:val="center"/>
          </w:tcPr>
          <w:p>
            <w:pPr>
              <w:spacing w:line="280" w:lineRule="exact"/>
              <w:ind w:firstLine="0" w:firstLineChars="0"/>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hint="eastAsia" w:ascii="宋体" w:hAnsi="宋体" w:cs="宋体"/>
                <w:color w:val="000000"/>
                <w:kern w:val="1"/>
              </w:rPr>
              <w:t>流体</w:t>
            </w:r>
            <w:r>
              <w:rPr>
                <w:rFonts w:ascii="宋体" w:hAnsi="宋体" w:cs="宋体"/>
                <w:color w:val="000000"/>
                <w:kern w:val="1"/>
              </w:rPr>
              <w:t>力学</w:t>
            </w:r>
            <w:r>
              <w:rPr>
                <w:rFonts w:hint="eastAsia" w:ascii="宋体" w:hAnsi="宋体" w:cs="宋体"/>
                <w:color w:val="000000"/>
                <w:kern w:val="1"/>
              </w:rPr>
              <w:t>与</w:t>
            </w:r>
            <w:r>
              <w:rPr>
                <w:rFonts w:ascii="宋体" w:hAnsi="宋体" w:cs="宋体"/>
                <w:color w:val="000000"/>
                <w:kern w:val="1"/>
              </w:rPr>
              <w:t>热工学基础</w:t>
            </w:r>
          </w:p>
        </w:tc>
        <w:tc>
          <w:tcPr>
            <w:tcW w:w="705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w:t>
            </w:r>
            <w:r>
              <w:rPr>
                <w:rFonts w:hint="eastAsia" w:ascii="宋体" w:hAnsi="宋体"/>
                <w:color w:val="000000"/>
                <w:sz w:val="21"/>
                <w:szCs w:val="21"/>
              </w:rPr>
              <w:t>主要介绍流体力学、工程热力学、传热学的内容。流体力学部分主要介绍流体的基本特性、流体静力学、流体动力学基础及能量损失与管路计算等知识；工程热力学部分在讲述工程热力学的基本理论和常用工质的性质基础上，主要论述了热工理论在工程上的一些应用，传热学部分内容包括导热、对流换热、辐射换热、传热过程及换热器。</w:t>
            </w:r>
          </w:p>
        </w:tc>
        <w:tc>
          <w:tcPr>
            <w:tcW w:w="457" w:type="dxa"/>
            <w:vAlign w:val="center"/>
          </w:tcPr>
          <w:p>
            <w:pPr>
              <w:ind w:firstLine="0" w:firstLineChars="0"/>
              <w:rPr>
                <w:rFonts w:ascii="宋体" w:hAnsi="宋体"/>
                <w:color w:val="000000"/>
                <w:kern w:val="1"/>
                <w:sz w:val="21"/>
                <w:szCs w:val="21"/>
              </w:rPr>
            </w:pPr>
            <w:r>
              <w:rPr>
                <w:rFonts w:hint="eastAsia" w:ascii="宋体" w:hAnsi="宋体"/>
                <w:color w:val="000000"/>
                <w:kern w:val="1"/>
                <w:sz w:val="21"/>
                <w:szCs w:val="21"/>
              </w:rPr>
              <w:t>2</w:t>
            </w:r>
          </w:p>
        </w:tc>
        <w:tc>
          <w:tcPr>
            <w:tcW w:w="708" w:type="dxa"/>
            <w:vAlign w:val="center"/>
          </w:tcPr>
          <w:p>
            <w:pPr>
              <w:snapToGrid w:val="0"/>
              <w:ind w:firstLine="0" w:firstLineChars="0"/>
              <w:rPr>
                <w:rFonts w:ascii="宋体" w:hAnsi="宋体"/>
                <w:color w:val="000000"/>
                <w:sz w:val="21"/>
                <w:szCs w:val="21"/>
              </w:rPr>
            </w:pPr>
            <w:r>
              <w:rPr>
                <w:rFonts w:hint="eastAsia" w:ascii="宋体" w:hAnsi="宋体"/>
                <w:color w:val="000000"/>
                <w:sz w:val="21"/>
                <w:szCs w:val="21"/>
              </w:rPr>
              <w:t>36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51" w:hRule="atLeast"/>
        </w:trPr>
        <w:tc>
          <w:tcPr>
            <w:tcW w:w="709" w:type="dxa"/>
            <w:vMerge w:val="continue"/>
            <w:vAlign w:val="center"/>
          </w:tcPr>
          <w:p>
            <w:pPr>
              <w:spacing w:line="280" w:lineRule="exact"/>
              <w:ind w:firstLine="0" w:firstLineChars="0"/>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hint="eastAsia" w:ascii="宋体" w:hAnsi="宋体" w:cs="宋体"/>
                <w:color w:val="000000"/>
                <w:kern w:val="1"/>
              </w:rPr>
              <w:t>安全</w:t>
            </w:r>
            <w:r>
              <w:rPr>
                <w:rFonts w:ascii="宋体" w:hAnsi="宋体" w:cs="宋体"/>
                <w:color w:val="000000"/>
                <w:kern w:val="1"/>
              </w:rPr>
              <w:t>管理</w:t>
            </w:r>
            <w:r>
              <w:rPr>
                <w:rFonts w:hint="eastAsia" w:ascii="宋体" w:hAnsi="宋体" w:cs="宋体"/>
                <w:color w:val="000000"/>
                <w:kern w:val="1"/>
              </w:rPr>
              <w:t>文</w:t>
            </w:r>
            <w:r>
              <w:rPr>
                <w:rFonts w:ascii="宋体" w:hAnsi="宋体" w:cs="宋体"/>
                <w:color w:val="000000"/>
                <w:kern w:val="1"/>
              </w:rPr>
              <w:t>书写作</w:t>
            </w:r>
          </w:p>
        </w:tc>
        <w:tc>
          <w:tcPr>
            <w:tcW w:w="7058" w:type="dxa"/>
            <w:tcBorders>
              <w:bottom w:val="single" w:color="auto" w:sz="8" w:space="0"/>
            </w:tcBorders>
            <w:vAlign w:val="center"/>
          </w:tcPr>
          <w:p>
            <w:pPr>
              <w:ind w:firstLine="420"/>
              <w:rPr>
                <w:rFonts w:ascii="宋体" w:hAnsi="宋体"/>
                <w:color w:val="000000"/>
                <w:sz w:val="21"/>
                <w:szCs w:val="21"/>
              </w:rPr>
            </w:pPr>
            <w:r>
              <w:rPr>
                <w:rFonts w:hint="eastAsia" w:ascii="宋体" w:hAnsi="宋体"/>
                <w:color w:val="000000"/>
                <w:sz w:val="21"/>
                <w:szCs w:val="21"/>
              </w:rPr>
              <w:t>本课程较系统地介绍安全管理中常用文书的写作分类、格式、文种、写作方法和写作注意事项，以及如何运用，并列举了相应的参考实用文例。书中还对如何撰写科技论文和文书写作中常见的差错进行了介绍。</w:t>
            </w:r>
          </w:p>
        </w:tc>
        <w:tc>
          <w:tcPr>
            <w:tcW w:w="457" w:type="dxa"/>
            <w:tcBorders>
              <w:bottom w:val="single" w:color="auto" w:sz="8" w:space="0"/>
            </w:tcBorders>
            <w:vAlign w:val="center"/>
          </w:tcPr>
          <w:p>
            <w:pPr>
              <w:ind w:firstLine="0" w:firstLineChars="0"/>
              <w:rPr>
                <w:rFonts w:ascii="宋体" w:hAnsi="宋体"/>
                <w:color w:val="000000"/>
                <w:kern w:val="1"/>
                <w:sz w:val="21"/>
                <w:szCs w:val="21"/>
              </w:rPr>
            </w:pPr>
            <w:r>
              <w:rPr>
                <w:rFonts w:hint="eastAsia" w:ascii="宋体" w:hAnsi="宋体"/>
                <w:color w:val="000000"/>
                <w:kern w:val="1"/>
                <w:sz w:val="21"/>
                <w:szCs w:val="21"/>
              </w:rPr>
              <w:t>2</w:t>
            </w:r>
          </w:p>
        </w:tc>
        <w:tc>
          <w:tcPr>
            <w:tcW w:w="708" w:type="dxa"/>
            <w:tcBorders>
              <w:bottom w:val="single" w:color="auto" w:sz="8" w:space="0"/>
            </w:tcBorders>
            <w:vAlign w:val="center"/>
          </w:tcPr>
          <w:p>
            <w:pPr>
              <w:snapToGrid w:val="0"/>
              <w:ind w:firstLine="0" w:firstLineChars="0"/>
              <w:rPr>
                <w:rFonts w:ascii="宋体" w:hAnsi="宋体"/>
                <w:color w:val="000000"/>
                <w:sz w:val="21"/>
                <w:szCs w:val="21"/>
              </w:rPr>
            </w:pPr>
            <w:r>
              <w:rPr>
                <w:rFonts w:hint="eastAsia" w:ascii="宋体" w:hAnsi="宋体"/>
                <w:color w:val="000000"/>
                <w:sz w:val="21"/>
                <w:szCs w:val="21"/>
              </w:rPr>
              <w:t>36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09" w:type="dxa"/>
            <w:vMerge w:val="continue"/>
            <w:vAlign w:val="center"/>
          </w:tcPr>
          <w:p>
            <w:pPr>
              <w:spacing w:line="280" w:lineRule="exact"/>
              <w:ind w:firstLine="0" w:firstLineChars="0"/>
              <w:rPr>
                <w:rFonts w:ascii="方正书宋简体" w:hAnsi="Calibri" w:eastAsia="方正书宋简体"/>
                <w:color w:val="000000"/>
              </w:rPr>
            </w:pPr>
          </w:p>
        </w:tc>
        <w:tc>
          <w:tcPr>
            <w:tcW w:w="850" w:type="dxa"/>
            <w:vAlign w:val="center"/>
          </w:tcPr>
          <w:p>
            <w:pPr>
              <w:spacing w:line="240" w:lineRule="auto"/>
              <w:ind w:firstLine="0" w:firstLineChars="0"/>
              <w:jc w:val="center"/>
              <w:rPr>
                <w:rFonts w:ascii="Calibri" w:hAnsi="Calibri"/>
                <w:color w:val="000000"/>
              </w:rPr>
            </w:pPr>
            <w:r>
              <w:rPr>
                <w:rFonts w:hint="eastAsia" w:ascii="Calibri" w:hAnsi="Calibri"/>
                <w:color w:val="000000"/>
              </w:rPr>
              <w:t>信息</w:t>
            </w:r>
            <w:r>
              <w:rPr>
                <w:rFonts w:ascii="Calibri" w:hAnsi="Calibri"/>
                <w:color w:val="000000"/>
              </w:rPr>
              <w:t>管理</w:t>
            </w:r>
            <w:r>
              <w:rPr>
                <w:rFonts w:hint="eastAsia" w:ascii="Calibri" w:hAnsi="Calibri"/>
                <w:color w:val="000000"/>
              </w:rPr>
              <w:t>系统</w:t>
            </w:r>
          </w:p>
        </w:tc>
        <w:tc>
          <w:tcPr>
            <w:tcW w:w="7058" w:type="dxa"/>
            <w:tcBorders>
              <w:top w:val="single" w:color="auto" w:sz="8" w:space="0"/>
              <w:bottom w:val="single" w:color="auto" w:sz="12" w:space="0"/>
            </w:tcBorders>
            <w:vAlign w:val="center"/>
          </w:tcPr>
          <w:p>
            <w:pPr>
              <w:ind w:firstLine="420"/>
              <w:rPr>
                <w:rFonts w:ascii="宋体" w:hAnsi="宋体"/>
                <w:color w:val="000000"/>
                <w:sz w:val="21"/>
                <w:szCs w:val="21"/>
              </w:rPr>
            </w:pPr>
            <w:r>
              <w:rPr>
                <w:rFonts w:hint="eastAsia" w:ascii="宋体" w:hAnsi="宋体"/>
                <w:color w:val="000000"/>
                <w:sz w:val="21"/>
                <w:szCs w:val="21"/>
              </w:rPr>
              <w:t>本课程是安全技术</w:t>
            </w:r>
            <w:r>
              <w:rPr>
                <w:rFonts w:ascii="宋体" w:hAnsi="宋体"/>
                <w:color w:val="000000"/>
                <w:sz w:val="21"/>
                <w:szCs w:val="21"/>
              </w:rPr>
              <w:t>与管理</w:t>
            </w:r>
            <w:r>
              <w:rPr>
                <w:rFonts w:hint="eastAsia" w:ascii="宋体" w:hAnsi="宋体"/>
                <w:color w:val="000000"/>
                <w:sz w:val="21"/>
                <w:szCs w:val="21"/>
              </w:rPr>
              <w:t>专业的一门专业基础课程。该课程的教学目的在于，通过本课程的学习，使学生对管理信息系统的理论和应用有较深刻的了解，掌握管理信息系统的概念和结构，掌握管理信息系统开发的过程和方法，以及运行、维护、管理等环节的知识，初步具备管理信息系统建设、应用和管理的能力。</w:t>
            </w:r>
          </w:p>
        </w:tc>
        <w:tc>
          <w:tcPr>
            <w:tcW w:w="457" w:type="dxa"/>
            <w:tcBorders>
              <w:top w:val="single" w:color="auto" w:sz="8" w:space="0"/>
              <w:bottom w:val="single" w:color="auto" w:sz="12"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2</w:t>
            </w:r>
          </w:p>
        </w:tc>
        <w:tc>
          <w:tcPr>
            <w:tcW w:w="708" w:type="dxa"/>
            <w:tcBorders>
              <w:top w:val="single" w:color="auto" w:sz="8" w:space="0"/>
              <w:bottom w:val="single" w:color="auto" w:sz="12"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36</w:t>
            </w:r>
          </w:p>
        </w:tc>
      </w:tr>
    </w:tbl>
    <w:p>
      <w:pPr>
        <w:wordWrap w:val="0"/>
        <w:ind w:left="480" w:leftChars="200" w:firstLine="480"/>
        <w:rPr>
          <w:rFonts w:ascii="Calibri" w:hAnsi="Calibri"/>
          <w:color w:val="000000"/>
        </w:rPr>
      </w:pPr>
      <w:r>
        <w:rPr>
          <w:rFonts w:ascii="Calibri" w:hAnsi="Calibri"/>
          <w:color w:val="000000"/>
        </w:rPr>
        <w:drawing>
          <wp:anchor distT="0" distB="0" distL="114300" distR="114300" simplePos="0" relativeHeight="251668480" behindDoc="0" locked="0" layoutInCell="1" allowOverlap="1">
            <wp:simplePos x="0" y="0"/>
            <wp:positionH relativeFrom="margin">
              <wp:align>right</wp:align>
            </wp:positionH>
            <wp:positionV relativeFrom="paragraph">
              <wp:posOffset>-8869045</wp:posOffset>
            </wp:positionV>
            <wp:extent cx="219075" cy="142875"/>
            <wp:effectExtent l="0" t="0" r="9525" b="9525"/>
            <wp:wrapNone/>
            <wp:docPr id="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19075" cy="142875"/>
                    </a:xfrm>
                    <a:prstGeom prst="rect">
                      <a:avLst/>
                    </a:prstGeom>
                  </pic:spPr>
                </pic:pic>
              </a:graphicData>
            </a:graphic>
          </wp:anchor>
        </w:drawing>
      </w:r>
    </w:p>
    <w:tbl>
      <w:tblPr>
        <w:tblStyle w:val="16"/>
        <w:tblW w:w="9782" w:type="dxa"/>
        <w:tblInd w:w="-284"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10"/>
        <w:gridCol w:w="850"/>
        <w:gridCol w:w="7088"/>
        <w:gridCol w:w="425"/>
        <w:gridCol w:w="709"/>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710" w:type="dxa"/>
            <w:vMerge w:val="restart"/>
            <w:vAlign w:val="center"/>
          </w:tcPr>
          <w:p>
            <w:pPr>
              <w:ind w:firstLine="0" w:firstLineChars="0"/>
              <w:jc w:val="left"/>
              <w:rPr>
                <w:rFonts w:ascii="宋体" w:hAnsi="宋体"/>
                <w:color w:val="000000"/>
              </w:rPr>
            </w:pPr>
            <w:r>
              <w:rPr>
                <w:rFonts w:hint="eastAsia" w:ascii="宋体" w:hAnsi="宋体"/>
                <w:color w:val="000000"/>
              </w:rPr>
              <w:t>专业课</w:t>
            </w:r>
          </w:p>
        </w:tc>
        <w:tc>
          <w:tcPr>
            <w:tcW w:w="850" w:type="dxa"/>
            <w:vAlign w:val="center"/>
          </w:tcPr>
          <w:p>
            <w:pPr>
              <w:spacing w:line="240" w:lineRule="auto"/>
              <w:ind w:firstLine="0" w:firstLineChars="0"/>
              <w:jc w:val="center"/>
              <w:rPr>
                <w:rFonts w:ascii="宋体" w:hAnsi="宋体" w:cs="宋体"/>
                <w:color w:val="000000"/>
                <w:kern w:val="1"/>
              </w:rPr>
            </w:pPr>
            <w:r>
              <w:rPr>
                <w:rFonts w:ascii="宋体" w:hAnsi="宋体" w:cs="宋体"/>
                <w:color w:val="000000"/>
                <w:kern w:val="1"/>
              </w:rPr>
              <w:t>特种设备安全</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课程对锅炉、压力容器、压力管道、电梯、起重机械、客运索道、大型游乐设施等特种设备的安全管理及日常维护、质量检验等作了系统阐述。</w:t>
            </w:r>
          </w:p>
        </w:tc>
        <w:tc>
          <w:tcPr>
            <w:tcW w:w="425" w:type="dxa"/>
            <w:vAlign w:val="center"/>
          </w:tcPr>
          <w:p>
            <w:pPr>
              <w:ind w:firstLine="0" w:firstLineChars="0"/>
              <w:rPr>
                <w:rFonts w:ascii="宋体" w:hAnsi="宋体"/>
                <w:color w:val="000000"/>
                <w:kern w:val="1"/>
                <w:sz w:val="21"/>
                <w:szCs w:val="21"/>
              </w:rPr>
            </w:pPr>
            <w:r>
              <w:rPr>
                <w:rFonts w:ascii="宋体" w:hAnsi="宋体"/>
                <w:color w:val="000000"/>
                <w:kern w:val="1"/>
                <w:sz w:val="21"/>
                <w:szCs w:val="21"/>
              </w:rPr>
              <w:t>3</w:t>
            </w:r>
          </w:p>
        </w:tc>
        <w:tc>
          <w:tcPr>
            <w:tcW w:w="709" w:type="dxa"/>
            <w:vAlign w:val="center"/>
          </w:tcPr>
          <w:p>
            <w:pPr>
              <w:snapToGrid w:val="0"/>
              <w:ind w:firstLine="0" w:firstLineChars="0"/>
              <w:rPr>
                <w:rFonts w:ascii="宋体" w:hAnsi="宋体"/>
                <w:color w:val="000000"/>
                <w:sz w:val="21"/>
                <w:szCs w:val="21"/>
              </w:rPr>
            </w:pPr>
            <w:r>
              <w:rPr>
                <w:rFonts w:hint="eastAsia"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710" w:type="dxa"/>
            <w:vMerge w:val="continue"/>
            <w:vAlign w:val="center"/>
          </w:tcPr>
          <w:p>
            <w:pPr>
              <w:spacing w:line="280" w:lineRule="exact"/>
              <w:ind w:firstLine="0" w:firstLineChars="0"/>
              <w:jc w:val="left"/>
              <w:rPr>
                <w:rFonts w:ascii="宋体" w:hAnsi="宋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hint="eastAsia" w:ascii="宋体" w:hAnsi="宋体" w:cs="宋体"/>
                <w:color w:val="000000"/>
                <w:kern w:val="1"/>
              </w:rPr>
              <w:t>事故管理与应急处</w:t>
            </w:r>
          </w:p>
          <w:p>
            <w:pPr>
              <w:spacing w:line="240" w:lineRule="auto"/>
              <w:ind w:firstLine="0" w:firstLineChars="0"/>
              <w:rPr>
                <w:rFonts w:ascii="宋体" w:hAnsi="宋体" w:cs="宋体"/>
                <w:color w:val="000000"/>
                <w:kern w:val="1"/>
              </w:rPr>
            </w:pPr>
            <w:r>
              <w:rPr>
                <w:rFonts w:hint="eastAsia" w:ascii="宋体" w:hAnsi="宋体" w:cs="宋体"/>
                <w:color w:val="000000"/>
                <w:kern w:val="1"/>
              </w:rPr>
              <w:t>置</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w:t>
            </w:r>
            <w:r>
              <w:rPr>
                <w:rFonts w:hint="eastAsia" w:ascii="宋体" w:hAnsi="宋体"/>
                <w:color w:val="000000"/>
                <w:sz w:val="21"/>
                <w:szCs w:val="21"/>
              </w:rPr>
              <w:t>详细地论述安全事故术语或概念、事故管理技术以及事故应急预案等内容。作者依据</w:t>
            </w:r>
            <w:r>
              <w:rPr>
                <w:rFonts w:ascii="宋体" w:hAnsi="宋体"/>
                <w:color w:val="000000"/>
                <w:sz w:val="21"/>
                <w:szCs w:val="21"/>
              </w:rPr>
              <w:t>20多</w:t>
            </w:r>
            <w:r>
              <w:rPr>
                <w:rFonts w:hint="eastAsia" w:ascii="宋体" w:hAnsi="宋体"/>
                <w:color w:val="000000"/>
                <w:sz w:val="21"/>
                <w:szCs w:val="21"/>
              </w:rPr>
              <w:t>年的事故调查与事故处理经验，重点介绍事故管理技术与事故应急救援预案，除在理论上进行阐述外，还通过一些事故实例进行说明与论证。</w:t>
            </w:r>
          </w:p>
        </w:tc>
        <w:tc>
          <w:tcPr>
            <w:tcW w:w="425" w:type="dxa"/>
            <w:vAlign w:val="center"/>
          </w:tcPr>
          <w:p>
            <w:pPr>
              <w:ind w:firstLine="0" w:firstLineChars="0"/>
              <w:rPr>
                <w:rFonts w:ascii="宋体" w:hAnsi="宋体"/>
                <w:color w:val="000000"/>
                <w:kern w:val="1"/>
                <w:sz w:val="21"/>
                <w:szCs w:val="21"/>
              </w:rPr>
            </w:pPr>
            <w:r>
              <w:rPr>
                <w:rFonts w:hint="eastAsia" w:ascii="宋体" w:hAnsi="宋体"/>
                <w:color w:val="000000"/>
                <w:kern w:val="1"/>
                <w:sz w:val="21"/>
                <w:szCs w:val="21"/>
              </w:rPr>
              <w:t>4</w:t>
            </w:r>
          </w:p>
        </w:tc>
        <w:tc>
          <w:tcPr>
            <w:tcW w:w="709" w:type="dxa"/>
            <w:vAlign w:val="center"/>
          </w:tcPr>
          <w:p>
            <w:pPr>
              <w:snapToGrid w:val="0"/>
              <w:ind w:firstLine="0" w:firstLineChars="0"/>
              <w:rPr>
                <w:rFonts w:ascii="宋体" w:hAnsi="宋体"/>
                <w:color w:val="000000"/>
                <w:sz w:val="21"/>
                <w:szCs w:val="21"/>
              </w:rPr>
            </w:pPr>
            <w:r>
              <w:rPr>
                <w:rFonts w:hint="eastAsia" w:ascii="宋体" w:hAnsi="宋体"/>
                <w:color w:val="000000"/>
                <w:sz w:val="21"/>
                <w:szCs w:val="21"/>
              </w:rPr>
              <w:t>72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710" w:type="dxa"/>
            <w:vMerge w:val="continue"/>
            <w:vAlign w:val="center"/>
          </w:tcPr>
          <w:p>
            <w:pPr>
              <w:spacing w:line="280" w:lineRule="exact"/>
              <w:ind w:firstLine="0" w:firstLineChars="0"/>
              <w:jc w:val="left"/>
              <w:rPr>
                <w:rFonts w:ascii="宋体" w:hAnsi="宋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hint="eastAsia" w:ascii="宋体" w:hAnsi="宋体" w:cs="宋体"/>
                <w:color w:val="000000"/>
                <w:kern w:val="1"/>
              </w:rPr>
              <w:t>工</w:t>
            </w:r>
            <w:r>
              <w:rPr>
                <w:rFonts w:ascii="宋体" w:hAnsi="宋体" w:cs="宋体"/>
                <w:color w:val="000000"/>
                <w:kern w:val="1"/>
              </w:rPr>
              <w:t>程项目管理</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课程的任务是使学生了解并掌握在工程项目管理中，如何进行全方位全过程的科学管理和合理协调，具有从事工程建设的项目管理知识，具有进行工程项目管理的能力，以及具有有关其他工程实践的能力，为学生在毕业后从事有关的工程管理工作奠定坚实的基础。</w:t>
            </w:r>
          </w:p>
        </w:tc>
        <w:tc>
          <w:tcPr>
            <w:tcW w:w="425" w:type="dxa"/>
            <w:vAlign w:val="center"/>
          </w:tcPr>
          <w:p>
            <w:pPr>
              <w:ind w:firstLine="0" w:firstLineChars="0"/>
              <w:rPr>
                <w:rFonts w:ascii="宋体" w:hAnsi="宋体"/>
                <w:color w:val="000000"/>
                <w:kern w:val="1"/>
                <w:sz w:val="21"/>
                <w:szCs w:val="21"/>
              </w:rPr>
            </w:pPr>
            <w:r>
              <w:rPr>
                <w:rFonts w:hint="eastAsia" w:ascii="宋体" w:hAnsi="宋体"/>
                <w:color w:val="000000"/>
                <w:kern w:val="1"/>
                <w:sz w:val="21"/>
                <w:szCs w:val="21"/>
              </w:rPr>
              <w:t>4</w:t>
            </w:r>
          </w:p>
        </w:tc>
        <w:tc>
          <w:tcPr>
            <w:tcW w:w="709" w:type="dxa"/>
            <w:vAlign w:val="center"/>
          </w:tcPr>
          <w:p>
            <w:pPr>
              <w:snapToGrid w:val="0"/>
              <w:ind w:firstLine="0" w:firstLineChars="0"/>
              <w:rPr>
                <w:rFonts w:ascii="宋体" w:hAnsi="宋体"/>
                <w:color w:val="000000"/>
                <w:sz w:val="21"/>
                <w:szCs w:val="21"/>
              </w:rPr>
            </w:pPr>
            <w:r>
              <w:rPr>
                <w:rFonts w:hint="eastAsia" w:ascii="宋体" w:hAnsi="宋体"/>
                <w:color w:val="000000"/>
                <w:sz w:val="21"/>
                <w:szCs w:val="21"/>
              </w:rPr>
              <w:t>72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40" w:hRule="atLeast"/>
        </w:trPr>
        <w:tc>
          <w:tcPr>
            <w:tcW w:w="710" w:type="dxa"/>
            <w:vMerge w:val="continue"/>
            <w:vAlign w:val="center"/>
          </w:tcPr>
          <w:p>
            <w:pPr>
              <w:spacing w:line="280" w:lineRule="exact"/>
              <w:ind w:firstLine="0" w:firstLineChars="0"/>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ascii="宋体" w:hAnsi="宋体" w:cs="宋体"/>
                <w:color w:val="000000"/>
                <w:kern w:val="1"/>
              </w:rPr>
              <w:t>电气安全</w:t>
            </w:r>
            <w:r>
              <w:rPr>
                <w:rFonts w:hint="eastAsia" w:ascii="宋体" w:hAnsi="宋体" w:cs="宋体"/>
                <w:color w:val="000000"/>
                <w:kern w:val="1"/>
              </w:rPr>
              <w:t>技术</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课程基本内容包括两个方面</w:t>
            </w:r>
            <w:r>
              <w:rPr>
                <w:rFonts w:hint="eastAsia" w:ascii="宋体" w:hAnsi="宋体"/>
                <w:color w:val="000000"/>
                <w:sz w:val="21"/>
                <w:szCs w:val="21"/>
              </w:rPr>
              <w:t>：</w:t>
            </w:r>
            <w:r>
              <w:rPr>
                <w:rFonts w:ascii="宋体" w:hAnsi="宋体"/>
                <w:color w:val="000000"/>
                <w:sz w:val="21"/>
                <w:szCs w:val="21"/>
              </w:rPr>
              <w:t>一方面是研究各种电气事故，研究其的机理、原因、构成、特点、规律和防护措施，电气事故不仅仅是触电事故，雷击、静电危害、电磁场伤害、电气火灾爆炸以及其他危机人身安全的线路故障和设备故障也属于电气事故</w:t>
            </w:r>
            <w:r>
              <w:rPr>
                <w:rFonts w:hint="eastAsia" w:ascii="宋体" w:hAnsi="宋体"/>
                <w:color w:val="000000"/>
                <w:sz w:val="21"/>
                <w:szCs w:val="21"/>
              </w:rPr>
              <w:t>；</w:t>
            </w:r>
            <w:r>
              <w:rPr>
                <w:rFonts w:ascii="宋体" w:hAnsi="宋体"/>
                <w:color w:val="000000"/>
                <w:sz w:val="21"/>
                <w:szCs w:val="21"/>
              </w:rPr>
              <w:t>另一方面是研究用电气的方法解决各种安全问题，即研究运用电气监测、电气检查和电气控制的方法来评价系统的安全性或获得必要的安全条件。电气安全具有抽象性、广泛性、综合性的特点。</w:t>
            </w:r>
          </w:p>
        </w:tc>
        <w:tc>
          <w:tcPr>
            <w:tcW w:w="425" w:type="dxa"/>
            <w:vAlign w:val="center"/>
          </w:tcPr>
          <w:p>
            <w:pPr>
              <w:ind w:firstLine="0" w:firstLineChars="0"/>
              <w:rPr>
                <w:rFonts w:ascii="宋体" w:hAnsi="宋体"/>
                <w:color w:val="000000"/>
                <w:kern w:val="1"/>
                <w:sz w:val="21"/>
                <w:szCs w:val="21"/>
              </w:rPr>
            </w:pPr>
            <w:r>
              <w:rPr>
                <w:rFonts w:ascii="宋体" w:hAnsi="宋体"/>
                <w:color w:val="000000"/>
                <w:kern w:val="1"/>
                <w:sz w:val="21"/>
                <w:szCs w:val="21"/>
              </w:rPr>
              <w:t>3</w:t>
            </w:r>
          </w:p>
        </w:tc>
        <w:tc>
          <w:tcPr>
            <w:tcW w:w="709" w:type="dxa"/>
            <w:vAlign w:val="center"/>
          </w:tcPr>
          <w:p>
            <w:pPr>
              <w:ind w:firstLine="0" w:firstLineChars="0"/>
              <w:rPr>
                <w:rFonts w:ascii="宋体" w:hAnsi="宋体"/>
                <w:color w:val="000000"/>
                <w:sz w:val="21"/>
                <w:szCs w:val="21"/>
              </w:rPr>
            </w:pPr>
            <w:r>
              <w:rPr>
                <w:rFonts w:hint="eastAsia"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710"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hint="eastAsia" w:ascii="宋体" w:hAnsi="宋体" w:cs="宋体"/>
                <w:color w:val="000000"/>
                <w:kern w:val="1"/>
              </w:rPr>
              <w:t>职业卫生</w:t>
            </w:r>
            <w:r>
              <w:rPr>
                <w:rFonts w:ascii="宋体" w:hAnsi="宋体" w:cs="宋体"/>
                <w:color w:val="000000"/>
                <w:kern w:val="1"/>
              </w:rPr>
              <w:t>基础</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主要从与职业卫生密切相关的医学基础知识点进行普及性教育，以弥补工科院校学生基础医学知识薄弱的不足。此外，针对安全工作者和科研人员侧重职业性有害因素识别、评价与控制的职业特点，在讲述职业性有害因素的辨识时，弱化了职业危害发生机制、临床表现以及诊断和治疗的内容。</w:t>
            </w:r>
          </w:p>
        </w:tc>
        <w:tc>
          <w:tcPr>
            <w:tcW w:w="425"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709" w:type="dxa"/>
            <w:vAlign w:val="center"/>
          </w:tcPr>
          <w:p>
            <w:pPr>
              <w:ind w:firstLine="0" w:firstLineChars="0"/>
              <w:jc w:val="center"/>
              <w:rPr>
                <w:rFonts w:ascii="宋体" w:hAnsi="宋体"/>
                <w:color w:val="000000"/>
                <w:sz w:val="21"/>
                <w:szCs w:val="21"/>
              </w:rPr>
            </w:pPr>
            <w:r>
              <w:rPr>
                <w:rFonts w:hint="eastAsia" w:ascii="宋体" w:hAnsi="宋体"/>
                <w:color w:val="000000"/>
                <w:sz w:val="21"/>
                <w:szCs w:val="21"/>
              </w:rPr>
              <w:t>54</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710"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vAlign w:val="center"/>
          </w:tcPr>
          <w:p>
            <w:pPr>
              <w:spacing w:line="240" w:lineRule="auto"/>
              <w:ind w:firstLine="0" w:firstLineChars="0"/>
              <w:jc w:val="left"/>
              <w:rPr>
                <w:rFonts w:ascii="宋体" w:hAnsi="宋体" w:cs="宋体"/>
                <w:color w:val="000000"/>
                <w:kern w:val="1"/>
              </w:rPr>
            </w:pPr>
            <w:r>
              <w:rPr>
                <w:rFonts w:hint="eastAsia" w:ascii="宋体" w:hAnsi="宋体" w:cs="宋体"/>
                <w:color w:val="000000"/>
                <w:kern w:val="1"/>
              </w:rPr>
              <w:t>安全</w:t>
            </w:r>
            <w:r>
              <w:rPr>
                <w:rFonts w:ascii="宋体" w:hAnsi="宋体" w:cs="宋体"/>
                <w:color w:val="000000"/>
                <w:kern w:val="1"/>
              </w:rPr>
              <w:t>评价</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阐述安全评价的基础理论及其应用。主要内容包括：安全评价概述，安全评价的依据，危险辨识与单元划分，常用定性安全评价方法，危险指数评价法，概率风险评价法，安全评价报告编制，安全评价过程控制，各类安全评价实战技术。</w:t>
            </w:r>
          </w:p>
        </w:tc>
        <w:tc>
          <w:tcPr>
            <w:tcW w:w="425"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709" w:type="dxa"/>
            <w:vAlign w:val="center"/>
          </w:tcPr>
          <w:p>
            <w:pPr>
              <w:ind w:firstLine="0" w:firstLineChars="0"/>
              <w:jc w:val="center"/>
              <w:rPr>
                <w:rFonts w:ascii="宋体" w:hAnsi="宋体"/>
                <w:color w:val="000000"/>
                <w:sz w:val="21"/>
                <w:szCs w:val="21"/>
              </w:rPr>
            </w:pPr>
            <w:r>
              <w:rPr>
                <w:rFonts w:hint="eastAsia" w:ascii="宋体" w:hAnsi="宋体"/>
                <w:color w:val="000000"/>
                <w:sz w:val="21"/>
                <w:szCs w:val="21"/>
              </w:rPr>
              <w:t>36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710"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vAlign w:val="center"/>
          </w:tcPr>
          <w:p>
            <w:pPr>
              <w:spacing w:line="240" w:lineRule="auto"/>
              <w:ind w:firstLine="0" w:firstLineChars="0"/>
              <w:jc w:val="left"/>
              <w:rPr>
                <w:rFonts w:ascii="宋体" w:hAnsi="宋体" w:cs="宋体"/>
                <w:color w:val="000000"/>
                <w:kern w:val="1"/>
              </w:rPr>
            </w:pPr>
            <w:r>
              <w:rPr>
                <w:rFonts w:ascii="宋体" w:hAnsi="宋体" w:cs="宋体"/>
                <w:color w:val="000000"/>
                <w:kern w:val="1"/>
              </w:rPr>
              <w:t>防火防爆</w:t>
            </w:r>
            <w:r>
              <w:rPr>
                <w:rFonts w:hint="eastAsia" w:ascii="宋体" w:hAnsi="宋体" w:cs="宋体"/>
                <w:color w:val="000000"/>
                <w:kern w:val="1"/>
              </w:rPr>
              <w:t>技术</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课程从火灾的燃烧学机理出发，讨论火灾发生、发展和烟气蔓延的规律</w:t>
            </w:r>
            <w:r>
              <w:rPr>
                <w:rFonts w:hint="eastAsia" w:ascii="宋体" w:hAnsi="宋体"/>
                <w:color w:val="000000"/>
                <w:sz w:val="21"/>
                <w:szCs w:val="21"/>
              </w:rPr>
              <w:t>，</w:t>
            </w:r>
            <w:r>
              <w:rPr>
                <w:rFonts w:ascii="宋体" w:hAnsi="宋体"/>
                <w:color w:val="000000"/>
                <w:sz w:val="21"/>
                <w:szCs w:val="21"/>
              </w:rPr>
              <w:t>分析爆炸的基本理论和实质。重点介绍工业企业生产过程和建筑工程中火灾与爆炸事故的预防及控制措施，包括建筑物防火以及防排烟设计方法和技术措施、耐火设计、消防规划和消防布局等防火方法与技术，火灾探测报警和自动灭火方法与技术及工业建筑防爆泄压设备设施等防爆技术措施。结合火灾爆炸事故案例和消防工程实例，介绍隧道等特殊建筑工程、乙炔站、煤气储配站等典型危险作业场所和冶金、矿山等工业企业的防火与防爆技术措施。</w:t>
            </w:r>
          </w:p>
        </w:tc>
        <w:tc>
          <w:tcPr>
            <w:tcW w:w="425" w:type="dxa"/>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4</w:t>
            </w:r>
          </w:p>
        </w:tc>
        <w:tc>
          <w:tcPr>
            <w:tcW w:w="709" w:type="dxa"/>
            <w:vAlign w:val="center"/>
          </w:tcPr>
          <w:p>
            <w:pPr>
              <w:ind w:firstLine="0" w:firstLineChars="0"/>
              <w:jc w:val="center"/>
              <w:rPr>
                <w:rFonts w:ascii="宋体" w:hAnsi="宋体"/>
                <w:color w:val="000000"/>
                <w:sz w:val="21"/>
                <w:szCs w:val="21"/>
              </w:rPr>
            </w:pPr>
            <w:r>
              <w:rPr>
                <w:rFonts w:hint="eastAsia" w:ascii="宋体" w:hAnsi="宋体"/>
                <w:color w:val="000000"/>
                <w:sz w:val="21"/>
                <w:szCs w:val="21"/>
              </w:rPr>
              <w:t>72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710"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vAlign w:val="center"/>
          </w:tcPr>
          <w:p>
            <w:pPr>
              <w:spacing w:line="240" w:lineRule="auto"/>
              <w:ind w:firstLine="0" w:firstLineChars="0"/>
              <w:jc w:val="left"/>
              <w:rPr>
                <w:rFonts w:ascii="宋体" w:hAnsi="宋体" w:cs="宋体"/>
                <w:color w:val="000000"/>
                <w:kern w:val="1"/>
              </w:rPr>
            </w:pPr>
            <w:r>
              <w:rPr>
                <w:rFonts w:hint="eastAsia" w:ascii="宋体" w:hAnsi="宋体" w:cs="宋体"/>
                <w:color w:val="000000"/>
                <w:kern w:val="1"/>
              </w:rPr>
              <w:t>安全</w:t>
            </w:r>
            <w:r>
              <w:rPr>
                <w:rFonts w:ascii="宋体" w:hAnsi="宋体" w:cs="宋体"/>
                <w:color w:val="000000"/>
                <w:kern w:val="1"/>
              </w:rPr>
              <w:t>监测与监控</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从预防职业危害和预防生产安全事故工作的实际需要，较系统地阐述了安全检测与监控的内容。着重介绍工业生产过程参数检测与监控、有毒有害和易燃易爆气体检测与监控、作业场所空气中粉尘的检测、工业噪声检测、无损检测技术、火灾信息检测与监控、防雷防静电检测及物质放射性检测与监控等内容。</w:t>
            </w:r>
          </w:p>
        </w:tc>
        <w:tc>
          <w:tcPr>
            <w:tcW w:w="425" w:type="dxa"/>
            <w:vAlign w:val="center"/>
          </w:tcPr>
          <w:p>
            <w:pPr>
              <w:ind w:firstLine="0" w:firstLineChars="0"/>
              <w:rPr>
                <w:rFonts w:ascii="宋体" w:hAnsi="宋体"/>
                <w:color w:val="000000"/>
                <w:kern w:val="1"/>
                <w:sz w:val="21"/>
                <w:szCs w:val="21"/>
              </w:rPr>
            </w:pPr>
            <w:r>
              <w:rPr>
                <w:rFonts w:ascii="宋体" w:hAnsi="宋体"/>
                <w:color w:val="000000"/>
                <w:kern w:val="1"/>
                <w:sz w:val="21"/>
                <w:szCs w:val="21"/>
              </w:rPr>
              <w:t>4</w:t>
            </w:r>
          </w:p>
        </w:tc>
        <w:tc>
          <w:tcPr>
            <w:tcW w:w="709" w:type="dxa"/>
            <w:vAlign w:val="center"/>
          </w:tcPr>
          <w:p>
            <w:pPr>
              <w:snapToGrid w:val="0"/>
              <w:ind w:firstLine="0" w:firstLineChars="0"/>
              <w:rPr>
                <w:rFonts w:ascii="宋体" w:hAnsi="宋体"/>
                <w:color w:val="000000"/>
                <w:sz w:val="21"/>
                <w:szCs w:val="21"/>
              </w:rPr>
            </w:pPr>
            <w:r>
              <w:rPr>
                <w:rFonts w:hint="eastAsia" w:ascii="宋体" w:hAnsi="宋体"/>
                <w:color w:val="000000"/>
                <w:sz w:val="21"/>
                <w:szCs w:val="21"/>
              </w:rPr>
              <w:t>72</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710"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vAlign w:val="center"/>
          </w:tcPr>
          <w:p>
            <w:pPr>
              <w:spacing w:line="240" w:lineRule="auto"/>
              <w:ind w:firstLine="0" w:firstLineChars="0"/>
              <w:jc w:val="left"/>
              <w:rPr>
                <w:rFonts w:ascii="宋体" w:hAnsi="宋体" w:cs="宋体"/>
                <w:color w:val="000000"/>
                <w:kern w:val="1"/>
              </w:rPr>
            </w:pPr>
            <w:r>
              <w:rPr>
                <w:rFonts w:hint="eastAsia" w:ascii="宋体" w:hAnsi="宋体" w:cs="宋体"/>
                <w:color w:val="000000"/>
                <w:kern w:val="1"/>
              </w:rPr>
              <w:t>安全</w:t>
            </w:r>
            <w:r>
              <w:rPr>
                <w:rFonts w:ascii="宋体" w:hAnsi="宋体" w:cs="宋体"/>
                <w:color w:val="000000"/>
                <w:kern w:val="1"/>
              </w:rPr>
              <w:t>法规</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主要介绍安全生产法规体系、安全生产领域主要犯罪行为及其认定、主要危险物品与事故隐患监督管理、生产安全事故的报告和调查处理、安全生产资金管理与工伤保险、安全生产行政执法以及国务院关于预防煤矿生产安全事故的特别规定等内容。</w:t>
            </w:r>
          </w:p>
        </w:tc>
        <w:tc>
          <w:tcPr>
            <w:tcW w:w="425"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709" w:type="dxa"/>
            <w:vAlign w:val="center"/>
          </w:tcPr>
          <w:p>
            <w:pPr>
              <w:ind w:firstLine="0" w:firstLineChars="0"/>
              <w:jc w:val="center"/>
              <w:rPr>
                <w:rFonts w:ascii="宋体" w:hAnsi="宋体"/>
                <w:color w:val="000000"/>
                <w:sz w:val="21"/>
                <w:szCs w:val="21"/>
              </w:rPr>
            </w:pPr>
            <w:r>
              <w:rPr>
                <w:rFonts w:hint="eastAsia" w:ascii="宋体" w:hAnsi="宋体"/>
                <w:color w:val="000000"/>
                <w:sz w:val="21"/>
                <w:szCs w:val="21"/>
              </w:rPr>
              <w:t>36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Pr>
        <w:tc>
          <w:tcPr>
            <w:tcW w:w="710" w:type="dxa"/>
            <w:vMerge w:val="continue"/>
            <w:vAlign w:val="center"/>
          </w:tcPr>
          <w:p>
            <w:pPr>
              <w:spacing w:line="280" w:lineRule="exact"/>
              <w:ind w:firstLine="0" w:firstLineChars="0"/>
              <w:jc w:val="left"/>
              <w:rPr>
                <w:rFonts w:ascii="方正书宋简体" w:hAnsi="Calibri" w:eastAsia="方正书宋简体"/>
                <w:color w:val="000000"/>
              </w:rPr>
            </w:pPr>
          </w:p>
        </w:tc>
        <w:tc>
          <w:tcPr>
            <w:tcW w:w="850" w:type="dxa"/>
            <w:vAlign w:val="center"/>
          </w:tcPr>
          <w:p>
            <w:pPr>
              <w:spacing w:line="240" w:lineRule="auto"/>
              <w:ind w:firstLine="0" w:firstLineChars="0"/>
              <w:jc w:val="center"/>
              <w:rPr>
                <w:rFonts w:ascii="宋体" w:hAnsi="宋体" w:cs="宋体"/>
                <w:color w:val="000000"/>
                <w:kern w:val="1"/>
              </w:rPr>
            </w:pPr>
            <w:r>
              <w:rPr>
                <w:rFonts w:hint="eastAsia" w:ascii="宋体" w:hAnsi="宋体" w:cs="宋体"/>
                <w:color w:val="000000"/>
                <w:kern w:val="1"/>
              </w:rPr>
              <w:t>高危行</w:t>
            </w:r>
            <w:r>
              <w:rPr>
                <w:rFonts w:ascii="宋体" w:hAnsi="宋体" w:cs="宋体"/>
                <w:color w:val="000000"/>
                <w:kern w:val="1"/>
              </w:rPr>
              <w:t>业安全</w:t>
            </w:r>
          </w:p>
        </w:tc>
        <w:tc>
          <w:tcPr>
            <w:tcW w:w="7088" w:type="dxa"/>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课程主要介绍</w:t>
            </w:r>
            <w:r>
              <w:rPr>
                <w:rFonts w:hint="eastAsia" w:ascii="宋体" w:hAnsi="宋体"/>
                <w:color w:val="000000"/>
                <w:sz w:val="21"/>
                <w:szCs w:val="21"/>
              </w:rPr>
              <w:t>高危行业的生产必须安全第一，安全为了生产，生产必须安全，通过科学安全生产管理以及加强安全设施建设，减少事故发生，促进生产安全运行，保障社会稳定和谐。</w:t>
            </w:r>
          </w:p>
        </w:tc>
        <w:tc>
          <w:tcPr>
            <w:tcW w:w="425" w:type="dxa"/>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709" w:type="dxa"/>
            <w:vAlign w:val="center"/>
          </w:tcPr>
          <w:p>
            <w:pPr>
              <w:ind w:firstLine="0" w:firstLineChars="0"/>
              <w:jc w:val="center"/>
              <w:rPr>
                <w:rFonts w:ascii="宋体" w:hAnsi="宋体"/>
                <w:color w:val="000000"/>
                <w:sz w:val="21"/>
                <w:szCs w:val="21"/>
              </w:rPr>
            </w:pPr>
            <w:r>
              <w:rPr>
                <w:rFonts w:ascii="宋体" w:hAnsi="宋体"/>
                <w:color w:val="000000"/>
                <w:sz w:val="21"/>
                <w:szCs w:val="21"/>
              </w:rPr>
              <w:t>36</w:t>
            </w:r>
          </w:p>
        </w:tc>
      </w:tr>
    </w:tbl>
    <w:p>
      <w:pPr>
        <w:ind w:firstLine="0" w:firstLineChars="0"/>
        <w:jc w:val="left"/>
        <w:rPr>
          <w:color w:val="000000"/>
        </w:rPr>
      </w:pPr>
      <w:r>
        <w:rPr>
          <w:color w:val="000000"/>
        </w:rPr>
        <w:drawing>
          <wp:anchor distT="0" distB="0" distL="114300" distR="114300" simplePos="0" relativeHeight="251669504" behindDoc="0" locked="0" layoutInCell="1" allowOverlap="1">
            <wp:simplePos x="0" y="0"/>
            <wp:positionH relativeFrom="margin">
              <wp:align>right</wp:align>
            </wp:positionH>
            <wp:positionV relativeFrom="paragraph">
              <wp:posOffset>-6722110</wp:posOffset>
            </wp:positionV>
            <wp:extent cx="238125" cy="142875"/>
            <wp:effectExtent l="0" t="0" r="9525" b="9525"/>
            <wp:wrapNone/>
            <wp:docPr id="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38125" cy="142875"/>
                    </a:xfrm>
                    <a:prstGeom prst="rect">
                      <a:avLst/>
                    </a:prstGeom>
                  </pic:spPr>
                </pic:pic>
              </a:graphicData>
            </a:graphic>
          </wp:anchor>
        </w:drawing>
      </w:r>
    </w:p>
    <w:tbl>
      <w:tblPr>
        <w:tblStyle w:val="16"/>
        <w:tblW w:w="9782" w:type="dxa"/>
        <w:tblInd w:w="-284"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10"/>
        <w:gridCol w:w="850"/>
        <w:gridCol w:w="7106"/>
        <w:gridCol w:w="419"/>
        <w:gridCol w:w="69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restart"/>
            <w:tcBorders>
              <w:top w:val="single" w:color="auto" w:sz="12" w:space="0"/>
              <w:left w:val="single" w:color="auto" w:sz="12" w:space="0"/>
              <w:bottom w:val="single" w:color="auto" w:sz="12" w:space="0"/>
              <w:right w:val="single" w:color="auto" w:sz="4" w:space="0"/>
            </w:tcBorders>
            <w:vAlign w:val="center"/>
          </w:tcPr>
          <w:p>
            <w:pPr>
              <w:ind w:firstLine="0" w:firstLineChars="0"/>
              <w:jc w:val="left"/>
              <w:rPr>
                <w:rFonts w:ascii="宋体" w:hAnsi="宋体"/>
                <w:color w:val="000000"/>
              </w:rPr>
            </w:pPr>
            <w:r>
              <w:rPr>
                <w:rFonts w:hint="eastAsia" w:ascii="宋体" w:hAnsi="宋体"/>
                <w:color w:val="000000"/>
              </w:rPr>
              <w:t>综合</w:t>
            </w:r>
            <w:r>
              <w:rPr>
                <w:rFonts w:ascii="宋体" w:hAnsi="宋体"/>
                <w:color w:val="000000"/>
              </w:rPr>
              <w:t>实践</w:t>
            </w:r>
          </w:p>
        </w:tc>
        <w:tc>
          <w:tcPr>
            <w:tcW w:w="850" w:type="dxa"/>
            <w:tcBorders>
              <w:top w:val="single" w:color="auto" w:sz="12" w:space="0"/>
              <w:left w:val="single" w:color="auto" w:sz="4" w:space="0"/>
              <w:bottom w:val="single" w:color="auto" w:sz="12" w:space="0"/>
            </w:tcBorders>
            <w:vAlign w:val="center"/>
          </w:tcPr>
          <w:p>
            <w:pPr>
              <w:spacing w:line="240" w:lineRule="auto"/>
              <w:ind w:firstLine="0" w:firstLineChars="0"/>
              <w:jc w:val="left"/>
              <w:rPr>
                <w:rFonts w:ascii="宋体" w:hAnsi="宋体" w:cs="宋体"/>
                <w:color w:val="000000"/>
                <w:kern w:val="1"/>
              </w:rPr>
            </w:pPr>
            <w:r>
              <w:rPr>
                <w:rFonts w:hint="eastAsia" w:ascii="宋体" w:hAnsi="宋体" w:cs="宋体"/>
                <w:color w:val="000000"/>
                <w:kern w:val="1"/>
              </w:rPr>
              <w:t>毕业</w:t>
            </w:r>
            <w:r>
              <w:rPr>
                <w:rFonts w:ascii="宋体" w:hAnsi="宋体" w:cs="宋体"/>
                <w:color w:val="000000"/>
                <w:kern w:val="1"/>
              </w:rPr>
              <w:t>实践</w:t>
            </w:r>
          </w:p>
        </w:tc>
        <w:tc>
          <w:tcPr>
            <w:tcW w:w="7106" w:type="dxa"/>
            <w:tcBorders>
              <w:top w:val="single" w:color="auto" w:sz="12" w:space="0"/>
              <w:bottom w:val="single" w:color="auto" w:sz="12" w:space="0"/>
            </w:tcBorders>
            <w:vAlign w:val="center"/>
          </w:tcPr>
          <w:p>
            <w:pPr>
              <w:ind w:firstLine="420"/>
              <w:rPr>
                <w:rFonts w:ascii="宋体" w:hAnsi="宋体"/>
                <w:color w:val="000000"/>
                <w:sz w:val="21"/>
                <w:szCs w:val="21"/>
              </w:rPr>
            </w:pPr>
            <w:r>
              <w:rPr>
                <w:rFonts w:hint="eastAsia" w:ascii="宋体" w:hAnsi="宋体"/>
                <w:color w:val="000000"/>
                <w:sz w:val="21"/>
                <w:szCs w:val="21"/>
              </w:rPr>
              <w:t>本课程通过毕业实践，使学生进一步巩固和加深理解所学的专业理论知识，开阔视野、扩大学生的知识面，并使学生具有综合运用所学的专业知识，独立完成职业岗位工作及解决工程实际问题的能力，为毕业后提升职业岗位能力创造条件。</w:t>
            </w:r>
          </w:p>
        </w:tc>
        <w:tc>
          <w:tcPr>
            <w:tcW w:w="419" w:type="dxa"/>
            <w:tcBorders>
              <w:top w:val="single" w:color="auto" w:sz="12" w:space="0"/>
              <w:bottom w:val="single" w:color="auto" w:sz="12" w:space="0"/>
            </w:tcBorders>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8</w:t>
            </w:r>
          </w:p>
        </w:tc>
        <w:tc>
          <w:tcPr>
            <w:tcW w:w="697" w:type="dxa"/>
            <w:tcBorders>
              <w:top w:val="single" w:color="auto" w:sz="12" w:space="0"/>
              <w:bottom w:val="single" w:color="auto" w:sz="12" w:space="0"/>
              <w:right w:val="single" w:color="auto" w:sz="12" w:space="0"/>
            </w:tcBorders>
            <w:vAlign w:val="center"/>
          </w:tcPr>
          <w:p>
            <w:pPr>
              <w:ind w:firstLine="0" w:firstLineChars="0"/>
              <w:jc w:val="center"/>
              <w:rPr>
                <w:rFonts w:ascii="宋体" w:hAnsi="宋体"/>
                <w:color w:val="000000"/>
                <w:sz w:val="21"/>
                <w:szCs w:val="21"/>
              </w:rPr>
            </w:pPr>
            <w:r>
              <w:rPr>
                <w:rFonts w:ascii="宋体" w:hAnsi="宋体"/>
                <w:color w:val="000000"/>
                <w:sz w:val="21"/>
                <w:szCs w:val="21"/>
              </w:rPr>
              <w:t>144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continue"/>
            <w:tcBorders>
              <w:top w:val="single" w:color="auto" w:sz="12" w:space="0"/>
              <w:left w:val="single" w:color="auto" w:sz="12" w:space="0"/>
              <w:bottom w:val="single" w:color="auto" w:sz="12" w:space="0"/>
              <w:right w:val="single" w:color="auto" w:sz="4" w:space="0"/>
            </w:tcBorders>
            <w:vAlign w:val="center"/>
          </w:tcPr>
          <w:p>
            <w:pPr>
              <w:spacing w:line="280" w:lineRule="exact"/>
              <w:ind w:firstLine="0" w:firstLineChars="0"/>
              <w:jc w:val="left"/>
              <w:rPr>
                <w:rFonts w:ascii="宋体" w:hAnsi="宋体" w:cs="宋体"/>
                <w:color w:val="000000"/>
                <w:kern w:val="1"/>
              </w:rPr>
            </w:pPr>
          </w:p>
        </w:tc>
        <w:tc>
          <w:tcPr>
            <w:tcW w:w="850" w:type="dxa"/>
            <w:tcBorders>
              <w:top w:val="single" w:color="auto" w:sz="12" w:space="0"/>
              <w:left w:val="single" w:color="auto" w:sz="4" w:space="0"/>
              <w:bottom w:val="single" w:color="auto" w:sz="8" w:space="0"/>
            </w:tcBorders>
            <w:vAlign w:val="center"/>
          </w:tcPr>
          <w:p>
            <w:pPr>
              <w:spacing w:line="240" w:lineRule="auto"/>
              <w:ind w:firstLine="0" w:firstLineChars="0"/>
              <w:jc w:val="left"/>
              <w:rPr>
                <w:rFonts w:ascii="宋体" w:hAnsi="宋体" w:cs="宋体"/>
                <w:color w:val="000000"/>
                <w:kern w:val="1"/>
              </w:rPr>
            </w:pPr>
            <w:r>
              <w:rPr>
                <w:rFonts w:hint="eastAsia" w:ascii="Calibri" w:hAnsi="Calibri"/>
                <w:color w:val="000000"/>
              </w:rPr>
              <w:t>工业通风除尘课程设计</w:t>
            </w:r>
          </w:p>
        </w:tc>
        <w:tc>
          <w:tcPr>
            <w:tcW w:w="7106" w:type="dxa"/>
            <w:tcBorders>
              <w:top w:val="single" w:color="auto" w:sz="12" w:space="0"/>
              <w:bottom w:val="single" w:color="auto" w:sz="8" w:space="0"/>
            </w:tcBorders>
            <w:vAlign w:val="center"/>
          </w:tcPr>
          <w:p>
            <w:pPr>
              <w:ind w:firstLine="420"/>
              <w:rPr>
                <w:rFonts w:ascii="宋体" w:hAnsi="宋体"/>
                <w:color w:val="000000"/>
                <w:sz w:val="21"/>
                <w:szCs w:val="21"/>
              </w:rPr>
            </w:pPr>
            <w:r>
              <w:rPr>
                <w:rFonts w:hint="eastAsia" w:ascii="宋体" w:hAnsi="宋体"/>
                <w:color w:val="000000"/>
                <w:sz w:val="21"/>
                <w:szCs w:val="21"/>
              </w:rPr>
              <w:t>本课程的设计目的主要是为了让</w:t>
            </w:r>
            <w:r>
              <w:rPr>
                <w:rFonts w:ascii="宋体" w:hAnsi="宋体"/>
                <w:color w:val="000000"/>
                <w:sz w:val="21"/>
                <w:szCs w:val="21"/>
              </w:rPr>
              <w:t>学生</w:t>
            </w:r>
            <w:r>
              <w:rPr>
                <w:rFonts w:hint="eastAsia" w:ascii="宋体" w:hAnsi="宋体"/>
                <w:color w:val="000000"/>
                <w:sz w:val="21"/>
                <w:szCs w:val="21"/>
              </w:rPr>
              <w:t>掌握管道摩擦阻力、局部阻力计算，管道压力分布分析计算、管道尺寸计算的约束条件、设计计算方法、均匀送风管道的计算，要求学生认真、细致、熟练掌握通风除尘系统的设计计算方法。</w:t>
            </w:r>
          </w:p>
        </w:tc>
        <w:tc>
          <w:tcPr>
            <w:tcW w:w="419" w:type="dxa"/>
            <w:tcBorders>
              <w:top w:val="single" w:color="auto" w:sz="12" w:space="0"/>
              <w:bottom w:val="single" w:color="auto" w:sz="8" w:space="0"/>
            </w:tcBorders>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3</w:t>
            </w:r>
          </w:p>
        </w:tc>
        <w:tc>
          <w:tcPr>
            <w:tcW w:w="697" w:type="dxa"/>
            <w:tcBorders>
              <w:top w:val="single" w:color="auto" w:sz="12" w:space="0"/>
              <w:bottom w:val="single" w:color="auto" w:sz="8" w:space="0"/>
              <w:right w:val="single" w:color="auto" w:sz="12" w:space="0"/>
            </w:tcBorders>
            <w:vAlign w:val="center"/>
          </w:tcPr>
          <w:p>
            <w:pPr>
              <w:ind w:firstLine="0" w:firstLineChars="0"/>
              <w:jc w:val="center"/>
              <w:rPr>
                <w:rFonts w:ascii="宋体" w:hAnsi="宋体"/>
                <w:color w:val="000000"/>
                <w:sz w:val="21"/>
                <w:szCs w:val="21"/>
              </w:rPr>
            </w:pPr>
            <w:r>
              <w:rPr>
                <w:rFonts w:hint="eastAsia" w:ascii="宋体" w:hAnsi="宋体"/>
                <w:color w:val="000000"/>
                <w:sz w:val="21"/>
                <w:szCs w:val="21"/>
              </w:rPr>
              <w:t>54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continue"/>
            <w:tcBorders>
              <w:top w:val="single" w:color="auto" w:sz="12" w:space="0"/>
              <w:left w:val="single" w:color="auto" w:sz="12" w:space="0"/>
              <w:bottom w:val="single" w:color="auto" w:sz="12" w:space="0"/>
              <w:right w:val="single" w:color="auto" w:sz="4" w:space="0"/>
            </w:tcBorders>
            <w:vAlign w:val="center"/>
          </w:tcPr>
          <w:p>
            <w:pPr>
              <w:spacing w:line="280" w:lineRule="exact"/>
              <w:ind w:firstLine="0" w:firstLineChars="0"/>
              <w:jc w:val="left"/>
              <w:rPr>
                <w:rFonts w:ascii="宋体" w:hAnsi="宋体" w:cs="宋体"/>
                <w:color w:val="000000"/>
                <w:kern w:val="1"/>
              </w:rPr>
            </w:pPr>
          </w:p>
        </w:tc>
        <w:tc>
          <w:tcPr>
            <w:tcW w:w="850" w:type="dxa"/>
            <w:tcBorders>
              <w:top w:val="single" w:color="auto" w:sz="8" w:space="0"/>
              <w:left w:val="single" w:color="auto" w:sz="4" w:space="0"/>
              <w:bottom w:val="single" w:color="auto" w:sz="4" w:space="0"/>
            </w:tcBorders>
            <w:vAlign w:val="center"/>
          </w:tcPr>
          <w:p>
            <w:pPr>
              <w:spacing w:line="240" w:lineRule="auto"/>
              <w:ind w:firstLine="0" w:firstLineChars="0"/>
              <w:jc w:val="left"/>
              <w:rPr>
                <w:rFonts w:ascii="Calibri" w:hAnsi="Calibri"/>
                <w:color w:val="000000"/>
              </w:rPr>
            </w:pPr>
            <w:r>
              <w:rPr>
                <w:rFonts w:hint="eastAsia" w:ascii="Calibri" w:hAnsi="Calibri"/>
                <w:color w:val="000000"/>
              </w:rPr>
              <w:t>防火防爆课程设计</w:t>
            </w:r>
          </w:p>
        </w:tc>
        <w:tc>
          <w:tcPr>
            <w:tcW w:w="7106" w:type="dxa"/>
            <w:tcBorders>
              <w:top w:val="single" w:color="auto" w:sz="8" w:space="0"/>
              <w:bottom w:val="single" w:color="auto" w:sz="4" w:space="0"/>
            </w:tcBorders>
            <w:vAlign w:val="center"/>
          </w:tcPr>
          <w:p>
            <w:pPr>
              <w:ind w:firstLine="420"/>
              <w:rPr>
                <w:rFonts w:ascii="宋体" w:hAnsi="宋体"/>
                <w:color w:val="000000"/>
                <w:sz w:val="21"/>
                <w:szCs w:val="21"/>
              </w:rPr>
            </w:pPr>
            <w:r>
              <w:rPr>
                <w:rFonts w:hint="eastAsia" w:ascii="宋体" w:hAnsi="宋体"/>
                <w:color w:val="000000"/>
                <w:sz w:val="21"/>
                <w:szCs w:val="21"/>
              </w:rPr>
              <w:t>本课程设计要求学生运用已学过的各种火灾探测器、控制器的知识，完成火灾消防监控系统中监测系统、灭火系统、消防电话系统、消防广播系统等各分系统的设计，以便进一步理解火灾探测与控制的基本原理，了解火灾监测监控系统设计的步骤和方法，培养学生初步设计小型火灾监测监控系统方案的能力。</w:t>
            </w:r>
          </w:p>
        </w:tc>
        <w:tc>
          <w:tcPr>
            <w:tcW w:w="419" w:type="dxa"/>
            <w:tcBorders>
              <w:top w:val="single" w:color="auto" w:sz="8" w:space="0"/>
              <w:bottom w:val="single" w:color="auto" w:sz="4" w:space="0"/>
            </w:tcBorders>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3</w:t>
            </w:r>
          </w:p>
        </w:tc>
        <w:tc>
          <w:tcPr>
            <w:tcW w:w="697" w:type="dxa"/>
            <w:tcBorders>
              <w:top w:val="single" w:color="auto" w:sz="8" w:space="0"/>
              <w:bottom w:val="single" w:color="auto" w:sz="4" w:space="0"/>
              <w:right w:val="single" w:color="auto" w:sz="12" w:space="0"/>
            </w:tcBorders>
            <w:vAlign w:val="center"/>
          </w:tcPr>
          <w:p>
            <w:pPr>
              <w:ind w:firstLine="0" w:firstLineChars="0"/>
              <w:jc w:val="center"/>
              <w:rPr>
                <w:rFonts w:ascii="宋体" w:hAnsi="宋体"/>
                <w:color w:val="000000"/>
                <w:sz w:val="21"/>
                <w:szCs w:val="21"/>
              </w:rPr>
            </w:pPr>
            <w:r>
              <w:rPr>
                <w:rFonts w:hint="eastAsia" w:ascii="宋体" w:hAnsi="宋体"/>
                <w:color w:val="000000"/>
                <w:sz w:val="21"/>
                <w:szCs w:val="21"/>
              </w:rPr>
              <w:t>54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cantSplit/>
        </w:trPr>
        <w:tc>
          <w:tcPr>
            <w:tcW w:w="710" w:type="dxa"/>
            <w:vMerge w:val="continue"/>
            <w:tcBorders>
              <w:top w:val="single" w:color="auto" w:sz="12" w:space="0"/>
              <w:left w:val="single" w:color="auto" w:sz="12" w:space="0"/>
              <w:bottom w:val="single" w:color="auto" w:sz="12" w:space="0"/>
              <w:right w:val="single" w:color="auto" w:sz="4" w:space="0"/>
            </w:tcBorders>
            <w:vAlign w:val="center"/>
          </w:tcPr>
          <w:p>
            <w:pPr>
              <w:spacing w:line="280" w:lineRule="exact"/>
              <w:ind w:firstLine="0" w:firstLineChars="0"/>
              <w:jc w:val="left"/>
              <w:rPr>
                <w:rFonts w:ascii="宋体" w:hAnsi="宋体" w:cs="宋体"/>
                <w:color w:val="000000"/>
                <w:kern w:val="1"/>
              </w:rPr>
            </w:pPr>
          </w:p>
        </w:tc>
        <w:tc>
          <w:tcPr>
            <w:tcW w:w="850" w:type="dxa"/>
            <w:tcBorders>
              <w:top w:val="single" w:color="auto" w:sz="4" w:space="0"/>
              <w:left w:val="single" w:color="auto" w:sz="4" w:space="0"/>
              <w:bottom w:val="single" w:color="auto" w:sz="8" w:space="0"/>
              <w:right w:val="single" w:color="auto" w:sz="4" w:space="0"/>
            </w:tcBorders>
            <w:vAlign w:val="center"/>
          </w:tcPr>
          <w:p>
            <w:pPr>
              <w:spacing w:line="240" w:lineRule="auto"/>
              <w:ind w:firstLine="0" w:firstLineChars="0"/>
              <w:jc w:val="center"/>
              <w:rPr>
                <w:rFonts w:ascii="宋体" w:hAnsi="宋体" w:cs="宋体"/>
                <w:color w:val="000000"/>
                <w:kern w:val="1"/>
              </w:rPr>
            </w:pPr>
            <w:r>
              <w:rPr>
                <w:rFonts w:hint="eastAsia" w:ascii="Calibri" w:hAnsi="Calibri"/>
                <w:color w:val="000000"/>
              </w:rPr>
              <w:t>安全评价</w:t>
            </w:r>
            <w:r>
              <w:rPr>
                <w:rFonts w:ascii="Calibri" w:hAnsi="Calibri"/>
                <w:color w:val="000000"/>
              </w:rPr>
              <w:t>课程设计</w:t>
            </w:r>
          </w:p>
        </w:tc>
        <w:tc>
          <w:tcPr>
            <w:tcW w:w="7106" w:type="dxa"/>
            <w:tcBorders>
              <w:top w:val="single" w:color="auto" w:sz="4" w:space="0"/>
              <w:left w:val="single" w:color="auto" w:sz="4" w:space="0"/>
              <w:bottom w:val="single" w:color="auto" w:sz="8" w:space="0"/>
              <w:right w:val="single" w:color="auto" w:sz="4" w:space="0"/>
            </w:tcBorders>
            <w:vAlign w:val="center"/>
          </w:tcPr>
          <w:p>
            <w:pPr>
              <w:ind w:firstLine="420"/>
              <w:rPr>
                <w:rFonts w:ascii="宋体" w:hAnsi="宋体"/>
                <w:color w:val="000000"/>
                <w:sz w:val="21"/>
                <w:szCs w:val="21"/>
              </w:rPr>
            </w:pPr>
            <w:r>
              <w:rPr>
                <w:rFonts w:hint="eastAsia" w:ascii="宋体" w:hAnsi="宋体"/>
                <w:color w:val="000000"/>
                <w:sz w:val="21"/>
                <w:szCs w:val="21"/>
              </w:rPr>
              <w:t>本课程要求学生对所设计的内容必须概念准确，参数选择合理，符合设计手册与设计规范及相关参考书籍的要求，计算正确，计算书书写工整、清晰，文笔流畅。设计合理，文字线条优美，图表清晰，符合规范，</w:t>
            </w:r>
            <w:r>
              <w:rPr>
                <w:rFonts w:ascii="宋体" w:hAnsi="宋体"/>
                <w:color w:val="000000"/>
                <w:sz w:val="21"/>
                <w:szCs w:val="21"/>
              </w:rPr>
              <w:t>独立完成。</w:t>
            </w:r>
          </w:p>
        </w:tc>
        <w:tc>
          <w:tcPr>
            <w:tcW w:w="419" w:type="dxa"/>
            <w:tcBorders>
              <w:top w:val="single" w:color="auto" w:sz="4" w:space="0"/>
              <w:left w:val="single" w:color="auto" w:sz="4" w:space="0"/>
              <w:bottom w:val="single" w:color="auto" w:sz="8" w:space="0"/>
            </w:tcBorders>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3</w:t>
            </w:r>
          </w:p>
        </w:tc>
        <w:tc>
          <w:tcPr>
            <w:tcW w:w="697" w:type="dxa"/>
            <w:tcBorders>
              <w:top w:val="single" w:color="auto" w:sz="4" w:space="0"/>
              <w:bottom w:val="single" w:color="auto" w:sz="8" w:space="0"/>
              <w:right w:val="single" w:color="auto" w:sz="12" w:space="0"/>
            </w:tcBorders>
            <w:vAlign w:val="center"/>
          </w:tcPr>
          <w:p>
            <w:pPr>
              <w:ind w:firstLine="0" w:firstLineChars="0"/>
              <w:jc w:val="center"/>
              <w:rPr>
                <w:rFonts w:ascii="宋体" w:hAnsi="宋体"/>
                <w:color w:val="000000"/>
                <w:sz w:val="21"/>
                <w:szCs w:val="21"/>
              </w:rPr>
            </w:pPr>
            <w:r>
              <w:rPr>
                <w:rFonts w:hint="eastAsia" w:ascii="宋体" w:hAnsi="宋体"/>
                <w:color w:val="000000"/>
                <w:sz w:val="21"/>
                <w:szCs w:val="21"/>
              </w:rPr>
              <w:t>54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continue"/>
            <w:tcBorders>
              <w:top w:val="single" w:color="auto" w:sz="12" w:space="0"/>
              <w:left w:val="single" w:color="auto" w:sz="12" w:space="0"/>
              <w:bottom w:val="single" w:color="auto" w:sz="12" w:space="0"/>
              <w:right w:val="single" w:color="auto" w:sz="4" w:space="0"/>
            </w:tcBorders>
            <w:vAlign w:val="center"/>
          </w:tcPr>
          <w:p>
            <w:pPr>
              <w:spacing w:line="280" w:lineRule="exact"/>
              <w:ind w:firstLine="0" w:firstLineChars="0"/>
              <w:jc w:val="left"/>
              <w:rPr>
                <w:rFonts w:ascii="宋体" w:hAnsi="宋体" w:cs="宋体"/>
                <w:color w:val="000000"/>
                <w:kern w:val="1"/>
              </w:rPr>
            </w:pPr>
          </w:p>
        </w:tc>
        <w:tc>
          <w:tcPr>
            <w:tcW w:w="850" w:type="dxa"/>
            <w:tcBorders>
              <w:top w:val="single" w:color="auto" w:sz="8" w:space="0"/>
              <w:left w:val="single" w:color="auto" w:sz="4" w:space="0"/>
              <w:bottom w:val="single" w:color="auto" w:sz="12" w:space="0"/>
            </w:tcBorders>
            <w:vAlign w:val="center"/>
          </w:tcPr>
          <w:p>
            <w:pPr>
              <w:spacing w:line="240" w:lineRule="auto"/>
              <w:ind w:firstLine="0" w:firstLineChars="0"/>
              <w:jc w:val="center"/>
              <w:rPr>
                <w:rFonts w:ascii="Calibri" w:hAnsi="Calibri"/>
                <w:color w:val="000000"/>
              </w:rPr>
            </w:pPr>
            <w:r>
              <w:rPr>
                <w:rFonts w:hint="eastAsia" w:ascii="Calibri" w:hAnsi="Calibri"/>
                <w:color w:val="000000"/>
              </w:rPr>
              <w:t>职业危害因素分析与评</w:t>
            </w:r>
          </w:p>
          <w:p>
            <w:pPr>
              <w:spacing w:line="240" w:lineRule="auto"/>
              <w:ind w:firstLine="0" w:firstLineChars="0"/>
              <w:rPr>
                <w:rFonts w:ascii="Calibri" w:hAnsi="Calibri"/>
                <w:color w:val="000000"/>
              </w:rPr>
            </w:pPr>
            <w:r>
              <w:rPr>
                <w:rFonts w:hint="eastAsia" w:ascii="Calibri" w:hAnsi="Calibri"/>
                <w:color w:val="000000"/>
              </w:rPr>
              <w:t>价</w:t>
            </w:r>
          </w:p>
        </w:tc>
        <w:tc>
          <w:tcPr>
            <w:tcW w:w="7106" w:type="dxa"/>
            <w:tcBorders>
              <w:top w:val="single" w:color="auto" w:sz="8" w:space="0"/>
              <w:bottom w:val="single" w:color="auto" w:sz="12" w:space="0"/>
            </w:tcBorders>
            <w:vAlign w:val="center"/>
          </w:tcPr>
          <w:p>
            <w:pPr>
              <w:ind w:firstLine="420"/>
              <w:rPr>
                <w:rFonts w:ascii="宋体" w:hAnsi="宋体"/>
                <w:color w:val="000000"/>
                <w:sz w:val="21"/>
                <w:szCs w:val="21"/>
              </w:rPr>
            </w:pPr>
            <w:r>
              <w:rPr>
                <w:rFonts w:hint="eastAsia" w:ascii="宋体" w:hAnsi="宋体"/>
                <w:color w:val="000000"/>
                <w:sz w:val="21"/>
                <w:szCs w:val="21"/>
              </w:rPr>
              <w:t>本课程通过环境监测、健康监护、实验室测试等手段，对危害因素的潜在作用进行定性和定量的鉴定和评价，推断它在多大剂量（浓度）和何种条件下可能构成损害；探讨其损害性质；并估测其在一般接触条件下可能造成损害的程度和概率。</w:t>
            </w:r>
          </w:p>
        </w:tc>
        <w:tc>
          <w:tcPr>
            <w:tcW w:w="419" w:type="dxa"/>
            <w:tcBorders>
              <w:top w:val="single" w:color="auto" w:sz="8" w:space="0"/>
              <w:bottom w:val="single" w:color="auto" w:sz="12" w:space="0"/>
            </w:tcBorders>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3</w:t>
            </w:r>
          </w:p>
        </w:tc>
        <w:tc>
          <w:tcPr>
            <w:tcW w:w="697" w:type="dxa"/>
            <w:tcBorders>
              <w:top w:val="single" w:color="auto" w:sz="8" w:space="0"/>
              <w:bottom w:val="single" w:color="auto" w:sz="12" w:space="0"/>
              <w:right w:val="single" w:color="auto" w:sz="12" w:space="0"/>
            </w:tcBorders>
            <w:vAlign w:val="center"/>
          </w:tcPr>
          <w:p>
            <w:pPr>
              <w:ind w:firstLine="0" w:firstLineChars="0"/>
              <w:jc w:val="center"/>
              <w:rPr>
                <w:rFonts w:ascii="宋体" w:hAnsi="宋体"/>
                <w:color w:val="000000"/>
                <w:sz w:val="21"/>
                <w:szCs w:val="21"/>
              </w:rPr>
            </w:pPr>
            <w:r>
              <w:rPr>
                <w:rFonts w:hint="eastAsia" w:ascii="宋体" w:hAnsi="宋体"/>
                <w:color w:val="000000"/>
                <w:sz w:val="21"/>
                <w:szCs w:val="21"/>
              </w:rPr>
              <w:t>54</w:t>
            </w:r>
          </w:p>
        </w:tc>
      </w:tr>
    </w:tbl>
    <w:p>
      <w:pPr>
        <w:ind w:firstLine="0" w:firstLineChars="0"/>
        <w:rPr>
          <w:rFonts w:ascii="Calibri" w:hAnsi="Calibri"/>
          <w:color w:val="000000"/>
          <w:sz w:val="20"/>
          <w:szCs w:val="20"/>
        </w:rPr>
      </w:pPr>
      <w:r>
        <w:rPr>
          <w:rFonts w:ascii="Calibri" w:hAnsi="Calibri"/>
          <w:color w:val="000000"/>
        </w:rPr>
        <w:drawing>
          <wp:anchor distT="0" distB="0" distL="114300" distR="114300" simplePos="0" relativeHeight="251670528" behindDoc="0" locked="0" layoutInCell="1" allowOverlap="1">
            <wp:simplePos x="0" y="0"/>
            <wp:positionH relativeFrom="column">
              <wp:posOffset>5611495</wp:posOffset>
            </wp:positionH>
            <wp:positionV relativeFrom="paragraph">
              <wp:posOffset>-5581015</wp:posOffset>
            </wp:positionV>
            <wp:extent cx="209550" cy="180975"/>
            <wp:effectExtent l="0" t="0" r="0" b="9525"/>
            <wp:wrapNone/>
            <wp:docPr id="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09550" cy="180975"/>
                    </a:xfrm>
                    <a:prstGeom prst="rect">
                      <a:avLst/>
                    </a:prstGeom>
                  </pic:spPr>
                </pic:pic>
              </a:graphicData>
            </a:graphic>
          </wp:anchor>
        </w:drawing>
      </w:r>
    </w:p>
    <w:tbl>
      <w:tblPr>
        <w:tblStyle w:val="16"/>
        <w:tblW w:w="9782" w:type="dxa"/>
        <w:tblInd w:w="-284"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10"/>
        <w:gridCol w:w="850"/>
        <w:gridCol w:w="7106"/>
        <w:gridCol w:w="419"/>
        <w:gridCol w:w="69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restart"/>
            <w:tcBorders>
              <w:top w:val="single" w:color="auto" w:sz="12" w:space="0"/>
              <w:left w:val="single" w:color="auto" w:sz="12" w:space="0"/>
              <w:bottom w:val="single" w:color="auto" w:sz="12" w:space="0"/>
            </w:tcBorders>
            <w:vAlign w:val="center"/>
          </w:tcPr>
          <w:p>
            <w:pPr>
              <w:ind w:firstLine="0" w:firstLineChars="0"/>
              <w:rPr>
                <w:rFonts w:ascii="Calibri" w:hAnsi="Calibri"/>
                <w:color w:val="000000"/>
              </w:rPr>
            </w:pPr>
            <w:r>
              <w:rPr>
                <w:rFonts w:hint="eastAsia" w:ascii="Calibri" w:hAnsi="Calibri"/>
                <w:color w:val="000000"/>
              </w:rPr>
              <w:t>特色</w:t>
            </w:r>
            <w:r>
              <w:rPr>
                <w:rFonts w:ascii="Calibri" w:hAnsi="Calibri"/>
                <w:color w:val="000000"/>
              </w:rPr>
              <w:t>课</w:t>
            </w:r>
          </w:p>
        </w:tc>
        <w:tc>
          <w:tcPr>
            <w:tcW w:w="850" w:type="dxa"/>
            <w:tcBorders>
              <w:top w:val="single" w:color="auto" w:sz="12" w:space="0"/>
              <w:bottom w:val="single" w:color="auto" w:sz="12" w:space="0"/>
            </w:tcBorders>
            <w:vAlign w:val="center"/>
          </w:tcPr>
          <w:p>
            <w:pPr>
              <w:spacing w:line="240" w:lineRule="auto"/>
              <w:ind w:firstLine="0" w:firstLineChars="0"/>
              <w:jc w:val="left"/>
              <w:rPr>
                <w:rFonts w:ascii="Calibri" w:hAnsi="Calibri"/>
                <w:color w:val="000000"/>
              </w:rPr>
            </w:pPr>
            <w:r>
              <w:rPr>
                <w:rFonts w:hint="eastAsia" w:ascii="Calibri" w:hAnsi="Calibri"/>
                <w:color w:val="000000"/>
              </w:rPr>
              <w:t>消防</w:t>
            </w:r>
            <w:r>
              <w:rPr>
                <w:rFonts w:ascii="Calibri" w:hAnsi="Calibri"/>
                <w:color w:val="000000"/>
              </w:rPr>
              <w:t>安全</w:t>
            </w:r>
          </w:p>
        </w:tc>
        <w:tc>
          <w:tcPr>
            <w:tcW w:w="7106" w:type="dxa"/>
            <w:tcBorders>
              <w:top w:val="single" w:color="auto" w:sz="12" w:space="0"/>
              <w:bottom w:val="single" w:color="auto" w:sz="12" w:space="0"/>
            </w:tcBorders>
            <w:vAlign w:val="center"/>
          </w:tcPr>
          <w:p>
            <w:pPr>
              <w:ind w:firstLine="420"/>
              <w:rPr>
                <w:rFonts w:ascii="宋体" w:hAnsi="宋体"/>
                <w:color w:val="000000"/>
                <w:sz w:val="21"/>
                <w:szCs w:val="21"/>
              </w:rPr>
            </w:pPr>
            <w:r>
              <w:rPr>
                <w:rFonts w:hint="eastAsia" w:ascii="宋体" w:hAnsi="宋体"/>
                <w:color w:val="000000"/>
                <w:sz w:val="21"/>
                <w:szCs w:val="21"/>
              </w:rPr>
              <w:t>本</w:t>
            </w:r>
            <w:r>
              <w:rPr>
                <w:rFonts w:ascii="宋体" w:hAnsi="宋体"/>
                <w:color w:val="000000"/>
                <w:sz w:val="21"/>
                <w:szCs w:val="21"/>
              </w:rPr>
              <w:t>课程共分为四部分，第一部分防火常识，主要介绍居家、外出应当掌握的防火知识；第二部分灭火常识，主要介绍常见火灾的扑灭方法以及报警方法；第三部分逃生及自救常识，主要介绍火灾发生后的逃生及自救方法；第四部分消防器材的选择及使用，主要介绍常用灭火器的分类及使用方法。</w:t>
            </w:r>
          </w:p>
        </w:tc>
        <w:tc>
          <w:tcPr>
            <w:tcW w:w="419" w:type="dxa"/>
            <w:tcBorders>
              <w:top w:val="single" w:color="auto" w:sz="12" w:space="0"/>
              <w:bottom w:val="single" w:color="auto" w:sz="12" w:space="0"/>
            </w:tcBorders>
            <w:vAlign w:val="center"/>
          </w:tcPr>
          <w:p>
            <w:pPr>
              <w:ind w:firstLine="0" w:firstLineChars="0"/>
              <w:rPr>
                <w:rFonts w:ascii="宋体" w:hAnsi="宋体"/>
                <w:color w:val="000000"/>
                <w:sz w:val="21"/>
                <w:szCs w:val="21"/>
              </w:rPr>
            </w:pPr>
            <w:r>
              <w:rPr>
                <w:rFonts w:ascii="宋体" w:hAnsi="宋体"/>
                <w:color w:val="000000"/>
                <w:sz w:val="21"/>
                <w:szCs w:val="21"/>
              </w:rPr>
              <w:t>3</w:t>
            </w:r>
          </w:p>
        </w:tc>
        <w:tc>
          <w:tcPr>
            <w:tcW w:w="697" w:type="dxa"/>
            <w:tcBorders>
              <w:top w:val="single" w:color="auto" w:sz="12" w:space="0"/>
              <w:bottom w:val="single" w:color="auto" w:sz="12" w:space="0"/>
              <w:right w:val="single" w:color="auto" w:sz="12" w:space="0"/>
            </w:tcBorders>
            <w:vAlign w:val="center"/>
          </w:tcPr>
          <w:p>
            <w:pPr>
              <w:ind w:firstLine="0" w:firstLineChars="0"/>
              <w:rPr>
                <w:rFonts w:ascii="宋体" w:hAnsi="宋体"/>
                <w:color w:val="000000"/>
                <w:sz w:val="21"/>
                <w:szCs w:val="21"/>
              </w:rPr>
            </w:pPr>
            <w:r>
              <w:rPr>
                <w:rFonts w:ascii="宋体" w:hAnsi="宋体"/>
                <w:color w:val="000000"/>
                <w:sz w:val="21"/>
                <w:szCs w:val="21"/>
              </w:rPr>
              <w:t>54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cantSplit/>
        </w:trPr>
        <w:tc>
          <w:tcPr>
            <w:tcW w:w="710" w:type="dxa"/>
            <w:vMerge w:val="continue"/>
            <w:tcBorders>
              <w:top w:val="single" w:color="auto" w:sz="12" w:space="0"/>
              <w:left w:val="single" w:color="auto" w:sz="12" w:space="0"/>
              <w:bottom w:val="single" w:color="auto" w:sz="12" w:space="0"/>
            </w:tcBorders>
            <w:vAlign w:val="center"/>
          </w:tcPr>
          <w:p>
            <w:pPr>
              <w:spacing w:line="240" w:lineRule="auto"/>
              <w:ind w:firstLine="0" w:firstLineChars="0"/>
              <w:rPr>
                <w:rFonts w:ascii="Calibri" w:hAnsi="Calibri"/>
                <w:color w:val="000000"/>
              </w:rPr>
            </w:pPr>
          </w:p>
        </w:tc>
        <w:tc>
          <w:tcPr>
            <w:tcW w:w="850" w:type="dxa"/>
            <w:tcBorders>
              <w:top w:val="single" w:color="auto" w:sz="12" w:space="0"/>
              <w:bottom w:val="single" w:color="auto" w:sz="6" w:space="0"/>
            </w:tcBorders>
            <w:vAlign w:val="center"/>
          </w:tcPr>
          <w:p>
            <w:pPr>
              <w:spacing w:line="240" w:lineRule="auto"/>
              <w:ind w:firstLine="0" w:firstLineChars="0"/>
              <w:jc w:val="left"/>
              <w:rPr>
                <w:rFonts w:ascii="Calibri" w:hAnsi="Calibri"/>
                <w:color w:val="000000"/>
              </w:rPr>
            </w:pPr>
            <w:r>
              <w:rPr>
                <w:rFonts w:ascii="Calibri" w:hAnsi="Calibri"/>
                <w:color w:val="000000"/>
              </w:rPr>
              <w:t>建筑施工安全</w:t>
            </w:r>
          </w:p>
        </w:tc>
        <w:tc>
          <w:tcPr>
            <w:tcW w:w="7106" w:type="dxa"/>
            <w:tcBorders>
              <w:top w:val="single" w:color="auto" w:sz="12" w:space="0"/>
              <w:bottom w:val="single" w:color="auto" w:sz="8" w:space="0"/>
            </w:tcBorders>
            <w:vAlign w:val="center"/>
          </w:tcPr>
          <w:p>
            <w:pPr>
              <w:ind w:firstLine="420"/>
              <w:rPr>
                <w:rFonts w:ascii="宋体" w:hAnsi="宋体"/>
                <w:color w:val="000000"/>
                <w:sz w:val="21"/>
                <w:szCs w:val="21"/>
              </w:rPr>
            </w:pPr>
            <w:r>
              <w:rPr>
                <w:rFonts w:hint="eastAsia" w:ascii="宋体" w:hAnsi="宋体"/>
                <w:color w:val="000000"/>
                <w:sz w:val="21"/>
                <w:szCs w:val="21"/>
              </w:rPr>
              <w:t>本课程通过</w:t>
            </w:r>
            <w:r>
              <w:rPr>
                <w:rFonts w:ascii="宋体" w:hAnsi="宋体"/>
                <w:color w:val="000000"/>
                <w:sz w:val="21"/>
                <w:szCs w:val="21"/>
              </w:rPr>
              <w:t>对建筑工程基础知识进行介绍</w:t>
            </w:r>
            <w:r>
              <w:rPr>
                <w:rFonts w:hint="eastAsia" w:ascii="宋体" w:hAnsi="宋体"/>
                <w:color w:val="000000"/>
                <w:sz w:val="21"/>
                <w:szCs w:val="21"/>
              </w:rPr>
              <w:t>，</w:t>
            </w:r>
            <w:r>
              <w:rPr>
                <w:rFonts w:ascii="宋体" w:hAnsi="宋体"/>
                <w:color w:val="000000"/>
                <w:sz w:val="21"/>
                <w:szCs w:val="21"/>
              </w:rPr>
              <w:t>对建筑施工安全分管理与技术层面进行</w:t>
            </w:r>
            <w:r>
              <w:rPr>
                <w:rFonts w:hint="eastAsia" w:ascii="宋体" w:hAnsi="宋体"/>
                <w:color w:val="000000"/>
                <w:sz w:val="21"/>
                <w:szCs w:val="21"/>
              </w:rPr>
              <w:t>了</w:t>
            </w:r>
            <w:r>
              <w:rPr>
                <w:rFonts w:ascii="宋体" w:hAnsi="宋体"/>
                <w:color w:val="000000"/>
                <w:sz w:val="21"/>
                <w:szCs w:val="21"/>
              </w:rPr>
              <w:t>详细探讨。在安全管理方面</w:t>
            </w:r>
            <w:r>
              <w:rPr>
                <w:rFonts w:hint="eastAsia" w:ascii="宋体" w:hAnsi="宋体"/>
                <w:color w:val="000000"/>
                <w:sz w:val="21"/>
                <w:szCs w:val="21"/>
              </w:rPr>
              <w:t>，</w:t>
            </w:r>
            <w:r>
              <w:rPr>
                <w:rFonts w:ascii="宋体" w:hAnsi="宋体"/>
                <w:color w:val="000000"/>
                <w:sz w:val="21"/>
                <w:szCs w:val="21"/>
              </w:rPr>
              <w:t>详细阐述与建筑工程安全相关的主要法律、法规、规定</w:t>
            </w:r>
            <w:r>
              <w:rPr>
                <w:rFonts w:hint="eastAsia" w:ascii="宋体" w:hAnsi="宋体"/>
                <w:color w:val="000000"/>
                <w:sz w:val="21"/>
                <w:szCs w:val="21"/>
              </w:rPr>
              <w:t>，</w:t>
            </w:r>
            <w:r>
              <w:rPr>
                <w:rFonts w:ascii="宋体" w:hAnsi="宋体"/>
                <w:color w:val="000000"/>
                <w:sz w:val="21"/>
                <w:szCs w:val="21"/>
              </w:rPr>
              <w:t>叙述了我国建筑施工安全管理体制</w:t>
            </w:r>
            <w:r>
              <w:rPr>
                <w:rFonts w:hint="eastAsia" w:ascii="宋体" w:hAnsi="宋体"/>
                <w:color w:val="000000"/>
                <w:sz w:val="21"/>
                <w:szCs w:val="21"/>
              </w:rPr>
              <w:t>，</w:t>
            </w:r>
            <w:r>
              <w:rPr>
                <w:rFonts w:ascii="宋体" w:hAnsi="宋体"/>
                <w:color w:val="000000"/>
                <w:sz w:val="21"/>
                <w:szCs w:val="21"/>
              </w:rPr>
              <w:t>以及对施工现场的安全管理知识。在安全技术方面围绕土方工程、脚手架工程、模板工程、主体工程、建筑施工机械、施工现场临时用电、施工现场的防火防爆、爆破工程、拆除工程、</w:t>
            </w:r>
            <w:r>
              <w:rPr>
                <w:rFonts w:hint="eastAsia" w:ascii="宋体" w:hAnsi="宋体"/>
                <w:color w:val="000000"/>
                <w:sz w:val="21"/>
                <w:szCs w:val="21"/>
              </w:rPr>
              <w:t>“</w:t>
            </w:r>
            <w:r>
              <w:rPr>
                <w:rFonts w:ascii="宋体" w:hAnsi="宋体"/>
                <w:color w:val="000000"/>
                <w:sz w:val="21"/>
                <w:szCs w:val="21"/>
              </w:rPr>
              <w:t>建筑三宝</w:t>
            </w:r>
            <w:r>
              <w:rPr>
                <w:rFonts w:hint="eastAsia" w:ascii="宋体" w:hAnsi="宋体"/>
                <w:color w:val="000000"/>
                <w:sz w:val="21"/>
                <w:szCs w:val="21"/>
              </w:rPr>
              <w:t>”</w:t>
            </w:r>
            <w:r>
              <w:rPr>
                <w:rFonts w:ascii="宋体" w:hAnsi="宋体"/>
                <w:color w:val="000000"/>
                <w:sz w:val="21"/>
                <w:szCs w:val="21"/>
              </w:rPr>
              <w:t>的检测与正确使用等内容进行详细讲解。最后从理论上阐述了施工伤亡事故的调查处理方法与一般预防措施</w:t>
            </w:r>
            <w:r>
              <w:rPr>
                <w:rFonts w:hint="eastAsia" w:ascii="宋体" w:hAnsi="宋体"/>
                <w:color w:val="000000"/>
                <w:sz w:val="21"/>
                <w:szCs w:val="21"/>
              </w:rPr>
              <w:t>，</w:t>
            </w:r>
            <w:r>
              <w:rPr>
                <w:rFonts w:ascii="宋体" w:hAnsi="宋体"/>
                <w:color w:val="000000"/>
                <w:sz w:val="21"/>
                <w:szCs w:val="21"/>
              </w:rPr>
              <w:t>并对施工过程中发生的典型事故案例进行深入的分析和讨论</w:t>
            </w:r>
            <w:r>
              <w:rPr>
                <w:rFonts w:hint="eastAsia" w:ascii="宋体" w:hAnsi="宋体"/>
                <w:color w:val="000000"/>
                <w:sz w:val="21"/>
                <w:szCs w:val="21"/>
              </w:rPr>
              <w:t>，</w:t>
            </w:r>
            <w:r>
              <w:rPr>
                <w:rFonts w:ascii="宋体" w:hAnsi="宋体"/>
                <w:color w:val="000000"/>
                <w:sz w:val="21"/>
                <w:szCs w:val="21"/>
              </w:rPr>
              <w:t>并给出该类事故的特殊预防措施等</w:t>
            </w:r>
            <w:r>
              <w:rPr>
                <w:rFonts w:hint="eastAsia" w:ascii="宋体" w:hAnsi="宋体"/>
                <w:color w:val="000000"/>
                <w:sz w:val="21"/>
                <w:szCs w:val="21"/>
              </w:rPr>
              <w:t>。</w:t>
            </w:r>
          </w:p>
        </w:tc>
        <w:tc>
          <w:tcPr>
            <w:tcW w:w="419" w:type="dxa"/>
            <w:tcBorders>
              <w:top w:val="single" w:color="auto" w:sz="12" w:space="0"/>
              <w:bottom w:val="single" w:color="auto" w:sz="8" w:space="0"/>
              <w:right w:val="single" w:color="auto" w:sz="4" w:space="0"/>
            </w:tcBorders>
            <w:vAlign w:val="center"/>
          </w:tcPr>
          <w:p>
            <w:pPr>
              <w:ind w:firstLine="0" w:firstLineChars="0"/>
              <w:rPr>
                <w:rFonts w:ascii="宋体" w:hAnsi="宋体"/>
                <w:color w:val="000000"/>
                <w:sz w:val="21"/>
                <w:szCs w:val="21"/>
              </w:rPr>
            </w:pPr>
            <w:r>
              <w:rPr>
                <w:rFonts w:ascii="宋体" w:hAnsi="宋体"/>
                <w:color w:val="000000"/>
                <w:sz w:val="21"/>
                <w:szCs w:val="21"/>
              </w:rPr>
              <w:t>3</w:t>
            </w:r>
          </w:p>
        </w:tc>
        <w:tc>
          <w:tcPr>
            <w:tcW w:w="697" w:type="dxa"/>
            <w:tcBorders>
              <w:top w:val="single" w:color="auto" w:sz="12" w:space="0"/>
              <w:left w:val="single" w:color="auto" w:sz="4" w:space="0"/>
              <w:bottom w:val="single" w:color="auto" w:sz="8" w:space="0"/>
              <w:right w:val="single" w:color="auto" w:sz="12" w:space="0"/>
            </w:tcBorders>
            <w:vAlign w:val="center"/>
          </w:tcPr>
          <w:p>
            <w:pPr>
              <w:ind w:firstLine="0" w:firstLineChars="0"/>
              <w:rPr>
                <w:rFonts w:ascii="宋体" w:hAnsi="宋体"/>
                <w:color w:val="000000"/>
                <w:sz w:val="21"/>
                <w:szCs w:val="21"/>
              </w:rPr>
            </w:pPr>
            <w:r>
              <w:rPr>
                <w:rFonts w:ascii="宋体" w:hAnsi="宋体"/>
                <w:color w:val="000000"/>
                <w:sz w:val="21"/>
                <w:szCs w:val="21"/>
              </w:rPr>
              <w:t>54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continue"/>
            <w:tcBorders>
              <w:top w:val="single" w:color="auto" w:sz="12" w:space="0"/>
              <w:left w:val="single" w:color="auto" w:sz="12" w:space="0"/>
              <w:bottom w:val="single" w:color="auto" w:sz="12" w:space="0"/>
            </w:tcBorders>
            <w:vAlign w:val="center"/>
          </w:tcPr>
          <w:p>
            <w:pPr>
              <w:spacing w:line="240" w:lineRule="auto"/>
              <w:ind w:firstLine="0" w:firstLineChars="0"/>
              <w:rPr>
                <w:rFonts w:ascii="Calibri" w:hAnsi="Calibri"/>
                <w:color w:val="000000"/>
              </w:rPr>
            </w:pPr>
          </w:p>
        </w:tc>
        <w:tc>
          <w:tcPr>
            <w:tcW w:w="850" w:type="dxa"/>
            <w:tcBorders>
              <w:top w:val="single" w:color="auto" w:sz="6" w:space="0"/>
              <w:bottom w:val="single" w:color="auto" w:sz="12" w:space="0"/>
            </w:tcBorders>
            <w:vAlign w:val="center"/>
          </w:tcPr>
          <w:p>
            <w:pPr>
              <w:spacing w:line="240" w:lineRule="auto"/>
              <w:ind w:firstLine="0" w:firstLineChars="0"/>
              <w:jc w:val="left"/>
              <w:rPr>
                <w:rFonts w:ascii="Calibri" w:hAnsi="Calibri"/>
                <w:color w:val="000000"/>
              </w:rPr>
            </w:pPr>
            <w:r>
              <w:rPr>
                <w:rFonts w:hint="eastAsia" w:ascii="Calibri" w:hAnsi="Calibri"/>
                <w:color w:val="000000"/>
              </w:rPr>
              <w:t>安全</w:t>
            </w:r>
            <w:r>
              <w:rPr>
                <w:rFonts w:ascii="Calibri" w:hAnsi="Calibri"/>
                <w:color w:val="000000"/>
              </w:rPr>
              <w:t>工程师培训课程</w:t>
            </w:r>
          </w:p>
        </w:tc>
        <w:tc>
          <w:tcPr>
            <w:tcW w:w="7106" w:type="dxa"/>
            <w:tcBorders>
              <w:top w:val="single" w:color="auto" w:sz="8" w:space="0"/>
              <w:bottom w:val="single" w:color="auto" w:sz="12" w:space="0"/>
            </w:tcBorders>
            <w:vAlign w:val="center"/>
          </w:tcPr>
          <w:p>
            <w:pPr>
              <w:ind w:firstLine="420"/>
              <w:rPr>
                <w:rFonts w:ascii="宋体" w:hAnsi="宋体"/>
                <w:color w:val="000000"/>
                <w:sz w:val="21"/>
                <w:szCs w:val="21"/>
              </w:rPr>
            </w:pPr>
            <w:r>
              <w:rPr>
                <w:rFonts w:hint="eastAsia" w:ascii="宋体" w:hAnsi="宋体"/>
                <w:color w:val="000000"/>
                <w:sz w:val="21"/>
                <w:szCs w:val="21"/>
              </w:rPr>
              <w:t>本课程针对安全工程师培训的不同专业方向，划分为矿山、危化、建筑施工、交通、电力、通用六个专业，学生可以从以上六个专业中选择其中一个，</w:t>
            </w:r>
            <w:r>
              <w:rPr>
                <w:rFonts w:ascii="宋体" w:hAnsi="宋体"/>
                <w:color w:val="000000"/>
                <w:sz w:val="21"/>
                <w:szCs w:val="21"/>
              </w:rPr>
              <w:t>并结合证书内容</w:t>
            </w:r>
            <w:r>
              <w:rPr>
                <w:rFonts w:hint="eastAsia" w:ascii="宋体" w:hAnsi="宋体"/>
                <w:color w:val="000000"/>
                <w:sz w:val="21"/>
                <w:szCs w:val="21"/>
              </w:rPr>
              <w:t>进行</w:t>
            </w:r>
            <w:r>
              <w:rPr>
                <w:rFonts w:ascii="宋体" w:hAnsi="宋体"/>
                <w:color w:val="000000"/>
                <w:sz w:val="21"/>
                <w:szCs w:val="21"/>
              </w:rPr>
              <w:t>学习</w:t>
            </w:r>
            <w:r>
              <w:rPr>
                <w:rFonts w:hint="eastAsia" w:ascii="宋体" w:hAnsi="宋体"/>
                <w:color w:val="000000"/>
                <w:sz w:val="21"/>
                <w:szCs w:val="21"/>
              </w:rPr>
              <w:t>。</w:t>
            </w:r>
          </w:p>
        </w:tc>
        <w:tc>
          <w:tcPr>
            <w:tcW w:w="419" w:type="dxa"/>
            <w:tcBorders>
              <w:top w:val="single" w:color="auto" w:sz="8" w:space="0"/>
              <w:bottom w:val="single" w:color="auto" w:sz="12" w:space="0"/>
              <w:right w:val="single" w:color="auto" w:sz="4"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3</w:t>
            </w:r>
          </w:p>
        </w:tc>
        <w:tc>
          <w:tcPr>
            <w:tcW w:w="697" w:type="dxa"/>
            <w:tcBorders>
              <w:top w:val="single" w:color="auto" w:sz="8" w:space="0"/>
              <w:left w:val="single" w:color="auto" w:sz="4" w:space="0"/>
              <w:bottom w:val="single" w:color="auto" w:sz="12" w:space="0"/>
              <w:right w:val="single" w:color="auto" w:sz="12"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54</w:t>
            </w:r>
          </w:p>
        </w:tc>
      </w:tr>
    </w:tbl>
    <w:p>
      <w:pPr>
        <w:ind w:firstLine="400"/>
        <w:rPr>
          <w:rFonts w:ascii="Calibri" w:hAnsi="Calibri"/>
          <w:color w:val="000000"/>
          <w:sz w:val="20"/>
          <w:szCs w:val="20"/>
        </w:rPr>
      </w:pPr>
    </w:p>
    <w:tbl>
      <w:tblPr>
        <w:tblStyle w:val="16"/>
        <w:tblW w:w="9782" w:type="dxa"/>
        <w:tblInd w:w="-284"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10"/>
        <w:gridCol w:w="850"/>
        <w:gridCol w:w="6931"/>
        <w:gridCol w:w="594"/>
        <w:gridCol w:w="69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restart"/>
            <w:tcBorders>
              <w:top w:val="single" w:color="auto" w:sz="12" w:space="0"/>
              <w:left w:val="single" w:color="auto" w:sz="12" w:space="0"/>
            </w:tcBorders>
            <w:vAlign w:val="center"/>
          </w:tcPr>
          <w:p>
            <w:pPr>
              <w:ind w:firstLine="0" w:firstLineChars="0"/>
              <w:rPr>
                <w:rFonts w:ascii="Calibri" w:hAnsi="Calibri"/>
                <w:color w:val="000000"/>
              </w:rPr>
            </w:pPr>
            <w:r>
              <w:rPr>
                <w:rFonts w:hint="eastAsia" w:ascii="Calibri" w:hAnsi="Calibri"/>
                <w:color w:val="000000"/>
              </w:rPr>
              <w:t>通识课</w:t>
            </w:r>
          </w:p>
        </w:tc>
        <w:tc>
          <w:tcPr>
            <w:tcW w:w="850" w:type="dxa"/>
            <w:tcBorders>
              <w:top w:val="single" w:color="auto" w:sz="12" w:space="0"/>
              <w:bottom w:val="single" w:color="auto" w:sz="12" w:space="0"/>
            </w:tcBorders>
            <w:vAlign w:val="center"/>
          </w:tcPr>
          <w:p>
            <w:pPr>
              <w:spacing w:line="240" w:lineRule="auto"/>
              <w:ind w:firstLine="0" w:firstLineChars="0"/>
              <w:jc w:val="left"/>
              <w:rPr>
                <w:rFonts w:ascii="Calibri" w:hAnsi="Calibri"/>
                <w:color w:val="000000"/>
              </w:rPr>
            </w:pPr>
            <w:r>
              <w:rPr>
                <w:rFonts w:hint="eastAsia" w:ascii="Calibri" w:hAnsi="Calibri"/>
              </w:rPr>
              <w:t>地域文化</w:t>
            </w:r>
          </w:p>
        </w:tc>
        <w:tc>
          <w:tcPr>
            <w:tcW w:w="6931" w:type="dxa"/>
            <w:tcBorders>
              <w:top w:val="single" w:color="auto" w:sz="12" w:space="0"/>
              <w:bottom w:val="single" w:color="auto" w:sz="12" w:space="0"/>
            </w:tcBorders>
            <w:vAlign w:val="center"/>
          </w:tcPr>
          <w:p>
            <w:pPr>
              <w:ind w:firstLine="420"/>
              <w:rPr>
                <w:rFonts w:ascii="宋体" w:hAnsi="宋体"/>
                <w:sz w:val="21"/>
                <w:szCs w:val="21"/>
              </w:rPr>
            </w:pPr>
            <w:r>
              <w:rPr>
                <w:rFonts w:hint="eastAsia" w:ascii="宋体" w:hAnsi="宋体"/>
                <w:sz w:val="21"/>
                <w:szCs w:val="21"/>
              </w:rPr>
              <w:t>本课程贯通我国汉唐历史文化发展，全面而重点地介绍汉唐历史文化的特色及其发展规律，包括汉唐历史文化沿革、汉唐文学、哲学宗教文化、皇室文化、教育文化、城市文化、风俗文化以及对汉唐文化的反思等方面的基础知识和基础理论。</w:t>
            </w:r>
          </w:p>
          <w:p>
            <w:pPr>
              <w:ind w:firstLine="420"/>
              <w:rPr>
                <w:rFonts w:ascii="宋体" w:hAnsi="宋体"/>
                <w:color w:val="000000"/>
                <w:sz w:val="21"/>
                <w:szCs w:val="21"/>
              </w:rPr>
            </w:pPr>
            <w:r>
              <w:rPr>
                <w:rFonts w:hint="eastAsia" w:ascii="宋体" w:hAnsi="宋体"/>
                <w:sz w:val="21"/>
                <w:szCs w:val="21"/>
              </w:rPr>
              <w:t>本课程坚持以马列主义、毛泽东思想、邓小平理论和科学发展观为指导，以素质教育的基本要求为核心，遵循汉唐历史文化形成和发展的客观事实，吸纳了考古学、历史学、民族学、民俗学等各个学科的最新成果，以史论的形式展现汉唐历史文化，突出汉唐历史文化的特色，有利于学生对汉唐以及中国古今历史、文物遗存、名胜古迹、风俗文化的了解，增长知识、陶冶性情，更好的提高人文素养，从而培养学生热爱祖国和民族历史文化情感，增强民族自信心和自豪感。</w:t>
            </w:r>
          </w:p>
        </w:tc>
        <w:tc>
          <w:tcPr>
            <w:tcW w:w="594" w:type="dxa"/>
            <w:tcBorders>
              <w:top w:val="single" w:color="auto" w:sz="12" w:space="0"/>
              <w:bottom w:val="single" w:color="auto" w:sz="12"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2</w:t>
            </w:r>
          </w:p>
        </w:tc>
        <w:tc>
          <w:tcPr>
            <w:tcW w:w="697" w:type="dxa"/>
            <w:tcBorders>
              <w:top w:val="single" w:color="auto" w:sz="12" w:space="0"/>
              <w:bottom w:val="single" w:color="auto" w:sz="12" w:space="0"/>
              <w:right w:val="single" w:color="auto" w:sz="12"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36</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continue"/>
            <w:tcBorders>
              <w:left w:val="single" w:color="auto" w:sz="12" w:space="0"/>
              <w:right w:val="single" w:color="auto" w:sz="8" w:space="0"/>
            </w:tcBorders>
            <w:vAlign w:val="center"/>
          </w:tcPr>
          <w:p>
            <w:pPr>
              <w:spacing w:line="240" w:lineRule="auto"/>
              <w:ind w:firstLine="0" w:firstLineChars="0"/>
              <w:rPr>
                <w:rFonts w:ascii="Calibri" w:hAnsi="Calibri"/>
                <w:color w:val="000000"/>
              </w:rPr>
            </w:pPr>
          </w:p>
        </w:tc>
        <w:tc>
          <w:tcPr>
            <w:tcW w:w="850" w:type="dxa"/>
            <w:tcBorders>
              <w:top w:val="single" w:color="auto" w:sz="12" w:space="0"/>
              <w:left w:val="single" w:color="auto" w:sz="8" w:space="0"/>
              <w:bottom w:val="single" w:color="auto" w:sz="8" w:space="0"/>
              <w:right w:val="single" w:color="auto" w:sz="8" w:space="0"/>
            </w:tcBorders>
            <w:vAlign w:val="center"/>
          </w:tcPr>
          <w:p>
            <w:pPr>
              <w:spacing w:line="240" w:lineRule="auto"/>
              <w:ind w:firstLine="0" w:firstLineChars="0"/>
              <w:jc w:val="left"/>
              <w:rPr>
                <w:rFonts w:ascii="Calibri" w:hAnsi="Calibri"/>
                <w:color w:val="000000"/>
              </w:rPr>
            </w:pPr>
            <w:r>
              <w:rPr>
                <w:rFonts w:hint="eastAsia" w:ascii="Calibri" w:hAnsi="Calibri"/>
              </w:rPr>
              <w:t>社交礼仪</w:t>
            </w:r>
          </w:p>
        </w:tc>
        <w:tc>
          <w:tcPr>
            <w:tcW w:w="6931" w:type="dxa"/>
            <w:tcBorders>
              <w:top w:val="single" w:color="auto" w:sz="12" w:space="0"/>
              <w:left w:val="single" w:color="auto" w:sz="8" w:space="0"/>
              <w:bottom w:val="single" w:color="auto" w:sz="8" w:space="0"/>
            </w:tcBorders>
            <w:vAlign w:val="center"/>
          </w:tcPr>
          <w:p>
            <w:pPr>
              <w:ind w:firstLine="420"/>
              <w:rPr>
                <w:rFonts w:ascii="宋体" w:hAnsi="宋体"/>
                <w:sz w:val="21"/>
                <w:szCs w:val="21"/>
              </w:rPr>
            </w:pPr>
            <w:r>
              <w:rPr>
                <w:rFonts w:hint="eastAsia" w:ascii="宋体" w:hAnsi="宋体"/>
                <w:sz w:val="21"/>
                <w:szCs w:val="21"/>
              </w:rPr>
              <w:t>本课程是一门人文应用科学，以礼仪活动、礼仪规范、礼仪规律作为自己的研究对象。同时，《现代礼仪》又是综合性的学科，与民俗、美学、传播学、伦理学、社会学、公共关系学紧密相连。</w:t>
            </w:r>
          </w:p>
          <w:p>
            <w:pPr>
              <w:ind w:firstLine="420"/>
              <w:rPr>
                <w:rFonts w:ascii="宋体" w:hAnsi="宋体"/>
                <w:color w:val="000000"/>
                <w:sz w:val="21"/>
                <w:szCs w:val="21"/>
              </w:rPr>
            </w:pPr>
            <w:r>
              <w:rPr>
                <w:rFonts w:hint="eastAsia" w:ascii="宋体" w:hAnsi="宋体"/>
                <w:sz w:val="21"/>
                <w:szCs w:val="21"/>
              </w:rPr>
              <w:t>通过对现代礼仪的学习，使学生首先掌握礼仪的基本理论，具备礼仪的理念，并认识礼仪交往活动的规律，了解礼仪活动的程序；其次要懂得一般社交礼仪行为的规范，具备社交礼仪的基本技能；最后，要培养学生的礼仪修养，提升学生的个人素质，树立良好的个人形象，以便能够更好地适应现代社会各种工作的需要。</w:t>
            </w:r>
          </w:p>
        </w:tc>
        <w:tc>
          <w:tcPr>
            <w:tcW w:w="594" w:type="dxa"/>
            <w:tcBorders>
              <w:top w:val="single" w:color="auto" w:sz="12" w:space="0"/>
              <w:bottom w:val="single" w:color="auto" w:sz="8" w:space="0"/>
              <w:right w:val="single" w:color="auto" w:sz="4"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2</w:t>
            </w:r>
          </w:p>
        </w:tc>
        <w:tc>
          <w:tcPr>
            <w:tcW w:w="697" w:type="dxa"/>
            <w:tcBorders>
              <w:top w:val="single" w:color="auto" w:sz="12" w:space="0"/>
              <w:left w:val="single" w:color="auto" w:sz="4" w:space="0"/>
              <w:bottom w:val="single" w:color="auto" w:sz="8" w:space="0"/>
              <w:right w:val="single" w:color="auto" w:sz="12"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36</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continue"/>
            <w:tcBorders>
              <w:left w:val="single" w:color="auto" w:sz="12" w:space="0"/>
              <w:right w:val="single" w:color="auto" w:sz="8" w:space="0"/>
            </w:tcBorders>
            <w:vAlign w:val="center"/>
          </w:tcPr>
          <w:p>
            <w:pPr>
              <w:spacing w:line="240" w:lineRule="auto"/>
              <w:ind w:firstLine="0" w:firstLineChars="0"/>
              <w:rPr>
                <w:rFonts w:ascii="Calibri" w:hAnsi="Calibri"/>
                <w:color w:val="000000"/>
              </w:rPr>
            </w:pPr>
          </w:p>
        </w:tc>
        <w:tc>
          <w:tcPr>
            <w:tcW w:w="850" w:type="dxa"/>
            <w:tcBorders>
              <w:top w:val="single" w:color="auto" w:sz="8" w:space="0"/>
              <w:left w:val="single" w:color="auto" w:sz="8" w:space="0"/>
              <w:bottom w:val="single" w:color="auto" w:sz="6" w:space="0"/>
            </w:tcBorders>
            <w:vAlign w:val="center"/>
          </w:tcPr>
          <w:p>
            <w:pPr>
              <w:spacing w:line="240" w:lineRule="auto"/>
              <w:ind w:firstLine="0" w:firstLineChars="0"/>
              <w:jc w:val="left"/>
              <w:rPr>
                <w:rFonts w:ascii="Calibri" w:hAnsi="Calibri"/>
                <w:color w:val="000000"/>
              </w:rPr>
            </w:pPr>
            <w:r>
              <w:rPr>
                <w:rFonts w:hint="eastAsia" w:ascii="Calibri" w:hAnsi="Calibri"/>
              </w:rPr>
              <w:t>实用写作</w:t>
            </w:r>
          </w:p>
        </w:tc>
        <w:tc>
          <w:tcPr>
            <w:tcW w:w="6931" w:type="dxa"/>
            <w:tcBorders>
              <w:top w:val="single" w:color="auto" w:sz="8" w:space="0"/>
              <w:bottom w:val="single" w:color="auto" w:sz="6" w:space="0"/>
            </w:tcBorders>
            <w:vAlign w:val="center"/>
          </w:tcPr>
          <w:p>
            <w:pPr>
              <w:ind w:firstLine="420"/>
              <w:rPr>
                <w:rFonts w:ascii="宋体" w:hAnsi="宋体"/>
                <w:color w:val="000000"/>
                <w:sz w:val="21"/>
                <w:szCs w:val="21"/>
              </w:rPr>
            </w:pPr>
            <w:r>
              <w:rPr>
                <w:rFonts w:hint="eastAsia" w:ascii="宋体" w:hAnsi="宋体"/>
                <w:sz w:val="21"/>
                <w:szCs w:val="21"/>
              </w:rPr>
              <w:t>本课程具有较强的实用性、实践性及指导性，通过学习是使学生系统地梳理在主要的专业课中所学的专业知识，找到学术研究的突破口，掌握专业论文的写作方法，形成一定的专业研究素养，提高创新能力和写作水平，使学生从理论上把握学科论文写作的一般规律和技巧，掌握文体写作知识，引导学生多接触文章实际，加深对学科论文的全面认识。</w:t>
            </w:r>
          </w:p>
        </w:tc>
        <w:tc>
          <w:tcPr>
            <w:tcW w:w="594" w:type="dxa"/>
            <w:tcBorders>
              <w:top w:val="single" w:color="auto" w:sz="8" w:space="0"/>
              <w:bottom w:val="single" w:color="auto" w:sz="6" w:space="0"/>
              <w:right w:val="single" w:color="auto" w:sz="4"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2</w:t>
            </w:r>
          </w:p>
        </w:tc>
        <w:tc>
          <w:tcPr>
            <w:tcW w:w="697" w:type="dxa"/>
            <w:tcBorders>
              <w:top w:val="single" w:color="auto" w:sz="8" w:space="0"/>
              <w:left w:val="single" w:color="auto" w:sz="4" w:space="0"/>
              <w:bottom w:val="single" w:color="auto" w:sz="6" w:space="0"/>
              <w:right w:val="single" w:color="auto" w:sz="12"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36</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cantSplit/>
        </w:trPr>
        <w:tc>
          <w:tcPr>
            <w:tcW w:w="710" w:type="dxa"/>
            <w:vMerge w:val="continue"/>
            <w:tcBorders>
              <w:left w:val="single" w:color="auto" w:sz="12" w:space="0"/>
              <w:right w:val="single" w:color="auto" w:sz="8" w:space="0"/>
            </w:tcBorders>
            <w:vAlign w:val="center"/>
          </w:tcPr>
          <w:p>
            <w:pPr>
              <w:spacing w:line="240" w:lineRule="auto"/>
              <w:ind w:firstLine="0" w:firstLineChars="0"/>
              <w:rPr>
                <w:rFonts w:ascii="Calibri" w:hAnsi="Calibri"/>
                <w:color w:val="000000"/>
              </w:rPr>
            </w:pPr>
          </w:p>
        </w:tc>
        <w:tc>
          <w:tcPr>
            <w:tcW w:w="850" w:type="dxa"/>
            <w:tcBorders>
              <w:top w:val="single" w:color="auto" w:sz="6" w:space="0"/>
              <w:left w:val="single" w:color="auto" w:sz="8" w:space="0"/>
              <w:bottom w:val="single" w:color="auto" w:sz="6" w:space="0"/>
            </w:tcBorders>
            <w:vAlign w:val="center"/>
          </w:tcPr>
          <w:p>
            <w:pPr>
              <w:spacing w:line="240" w:lineRule="auto"/>
              <w:ind w:firstLine="0" w:firstLineChars="0"/>
              <w:jc w:val="left"/>
              <w:rPr>
                <w:rFonts w:ascii="Calibri" w:hAnsi="Calibri"/>
              </w:rPr>
            </w:pPr>
            <w:r>
              <w:rPr>
                <w:rFonts w:hint="eastAsia" w:ascii="Calibri" w:hAnsi="Calibri"/>
              </w:rPr>
              <w:t>实用法律基础</w:t>
            </w:r>
          </w:p>
        </w:tc>
        <w:tc>
          <w:tcPr>
            <w:tcW w:w="6931" w:type="dxa"/>
            <w:tcBorders>
              <w:top w:val="single" w:color="auto" w:sz="6" w:space="0"/>
              <w:bottom w:val="single" w:color="auto" w:sz="6" w:space="0"/>
            </w:tcBorders>
            <w:vAlign w:val="center"/>
          </w:tcPr>
          <w:p>
            <w:pPr>
              <w:ind w:firstLine="420"/>
              <w:rPr>
                <w:rFonts w:ascii="宋体" w:hAnsi="宋体"/>
                <w:color w:val="000000"/>
                <w:sz w:val="21"/>
                <w:szCs w:val="21"/>
              </w:rPr>
            </w:pPr>
            <w:r>
              <w:rPr>
                <w:rFonts w:hint="eastAsia" w:ascii="宋体" w:hAnsi="宋体"/>
                <w:sz w:val="21"/>
                <w:szCs w:val="21"/>
              </w:rPr>
              <w:t>本课程旨在培养和增强大学生的法制观念和法律素养，是建设社会主义法治国家的必然要求。为了普及法律知识，提高学生分析和解决实际法律问题的能力，通过阐述基础法学理论和各部门法的基本概念和基础知识，力求系统性、基础性、实用性和生动性的统一，使学生掌握常用的法律基础知识。</w:t>
            </w:r>
          </w:p>
        </w:tc>
        <w:tc>
          <w:tcPr>
            <w:tcW w:w="594" w:type="dxa"/>
            <w:tcBorders>
              <w:top w:val="single" w:color="auto" w:sz="6" w:space="0"/>
              <w:bottom w:val="single" w:color="auto" w:sz="6" w:space="0"/>
              <w:right w:val="single" w:color="auto" w:sz="4"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2</w:t>
            </w:r>
          </w:p>
        </w:tc>
        <w:tc>
          <w:tcPr>
            <w:tcW w:w="697" w:type="dxa"/>
            <w:tcBorders>
              <w:top w:val="single" w:color="auto" w:sz="6" w:space="0"/>
              <w:left w:val="single" w:color="auto" w:sz="4" w:space="0"/>
              <w:bottom w:val="single" w:color="auto" w:sz="6" w:space="0"/>
              <w:right w:val="single" w:color="auto" w:sz="12"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36</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Pr>
        <w:tc>
          <w:tcPr>
            <w:tcW w:w="710" w:type="dxa"/>
            <w:vMerge w:val="continue"/>
            <w:tcBorders>
              <w:left w:val="single" w:color="auto" w:sz="12" w:space="0"/>
              <w:bottom w:val="single" w:color="auto" w:sz="12" w:space="0"/>
              <w:right w:val="single" w:color="auto" w:sz="8" w:space="0"/>
            </w:tcBorders>
            <w:vAlign w:val="center"/>
          </w:tcPr>
          <w:p>
            <w:pPr>
              <w:spacing w:line="240" w:lineRule="auto"/>
              <w:ind w:firstLine="0" w:firstLineChars="0"/>
              <w:rPr>
                <w:rFonts w:ascii="Calibri" w:hAnsi="Calibri"/>
                <w:color w:val="000000"/>
              </w:rPr>
            </w:pPr>
          </w:p>
        </w:tc>
        <w:tc>
          <w:tcPr>
            <w:tcW w:w="850" w:type="dxa"/>
            <w:tcBorders>
              <w:top w:val="single" w:color="auto" w:sz="6" w:space="0"/>
              <w:left w:val="single" w:color="auto" w:sz="8" w:space="0"/>
              <w:bottom w:val="single" w:color="auto" w:sz="12" w:space="0"/>
            </w:tcBorders>
            <w:vAlign w:val="center"/>
          </w:tcPr>
          <w:p>
            <w:pPr>
              <w:spacing w:line="240" w:lineRule="auto"/>
              <w:ind w:firstLine="0" w:firstLineChars="0"/>
              <w:jc w:val="left"/>
              <w:rPr>
                <w:rFonts w:ascii="Calibri" w:hAnsi="Calibri"/>
              </w:rPr>
            </w:pPr>
            <w:r>
              <w:rPr>
                <w:rFonts w:hint="eastAsia" w:ascii="Calibri" w:hAnsi="Calibri"/>
              </w:rPr>
              <w:t>汉唐</w:t>
            </w:r>
            <w:r>
              <w:rPr>
                <w:rFonts w:ascii="Calibri" w:hAnsi="Calibri"/>
              </w:rPr>
              <w:t>文化</w:t>
            </w:r>
          </w:p>
        </w:tc>
        <w:tc>
          <w:tcPr>
            <w:tcW w:w="6931" w:type="dxa"/>
            <w:tcBorders>
              <w:top w:val="single" w:color="auto" w:sz="6" w:space="0"/>
              <w:bottom w:val="single" w:color="auto" w:sz="12" w:space="0"/>
            </w:tcBorders>
            <w:vAlign w:val="center"/>
          </w:tcPr>
          <w:p>
            <w:pPr>
              <w:ind w:firstLine="420"/>
              <w:rPr>
                <w:rFonts w:ascii="宋体" w:hAnsi="宋体"/>
                <w:sz w:val="21"/>
                <w:szCs w:val="21"/>
              </w:rPr>
            </w:pPr>
            <w:r>
              <w:rPr>
                <w:rFonts w:hint="eastAsia" w:ascii="宋体" w:hAnsi="宋体"/>
                <w:sz w:val="21"/>
                <w:szCs w:val="21"/>
              </w:rPr>
              <w:t>本课程旨在使学生了解和掌握悠久而丰富、具有地域特色的西安文化基本概况，认识西安历史文化在辉煌灿烂的中国历史文化中的独特魅力和自己的风采，增强学生了解西安、热爱西安、建设西安的热情，激发学生学习、研究、发展西安文化的兴趣，提高学生的综合文化素质和人文素养，为培养适应地方社会经济发展的应用型高级人才打下基础。</w:t>
            </w:r>
          </w:p>
        </w:tc>
        <w:tc>
          <w:tcPr>
            <w:tcW w:w="594" w:type="dxa"/>
            <w:tcBorders>
              <w:top w:val="single" w:color="auto" w:sz="6" w:space="0"/>
              <w:bottom w:val="single" w:color="auto" w:sz="12" w:space="0"/>
              <w:right w:val="single" w:color="auto" w:sz="4"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2</w:t>
            </w:r>
          </w:p>
        </w:tc>
        <w:tc>
          <w:tcPr>
            <w:tcW w:w="697" w:type="dxa"/>
            <w:tcBorders>
              <w:top w:val="single" w:color="auto" w:sz="6" w:space="0"/>
              <w:left w:val="single" w:color="auto" w:sz="4" w:space="0"/>
              <w:bottom w:val="single" w:color="auto" w:sz="12" w:space="0"/>
              <w:right w:val="single" w:color="auto" w:sz="12" w:space="0"/>
            </w:tcBorders>
            <w:vAlign w:val="center"/>
          </w:tcPr>
          <w:p>
            <w:pPr>
              <w:ind w:firstLine="0" w:firstLineChars="0"/>
              <w:rPr>
                <w:rFonts w:ascii="宋体" w:hAnsi="宋体"/>
                <w:color w:val="000000"/>
                <w:sz w:val="21"/>
                <w:szCs w:val="21"/>
              </w:rPr>
            </w:pPr>
            <w:r>
              <w:rPr>
                <w:rFonts w:hint="eastAsia" w:ascii="宋体" w:hAnsi="宋体"/>
                <w:color w:val="000000"/>
                <w:sz w:val="21"/>
                <w:szCs w:val="21"/>
              </w:rPr>
              <w:t>36</w:t>
            </w:r>
          </w:p>
        </w:tc>
      </w:tr>
    </w:tbl>
    <w:p>
      <w:pPr>
        <w:ind w:firstLine="480"/>
        <w:rPr>
          <w:rFonts w:ascii="Calibri" w:hAnsi="Calibri"/>
          <w:color w:val="000000"/>
          <w:sz w:val="20"/>
          <w:szCs w:val="20"/>
        </w:rPr>
      </w:pPr>
      <w:r>
        <w:rPr>
          <w:rFonts w:ascii="Calibri" w:hAnsi="Calibri"/>
          <w:color w:val="000000"/>
        </w:rPr>
        <w:drawing>
          <wp:anchor distT="0" distB="0" distL="114300" distR="114300" simplePos="0" relativeHeight="251671552" behindDoc="0" locked="0" layoutInCell="1" allowOverlap="1">
            <wp:simplePos x="0" y="0"/>
            <wp:positionH relativeFrom="margin">
              <wp:align>right</wp:align>
            </wp:positionH>
            <wp:positionV relativeFrom="paragraph">
              <wp:posOffset>-8154035</wp:posOffset>
            </wp:positionV>
            <wp:extent cx="200025" cy="133350"/>
            <wp:effectExtent l="0" t="0" r="9525" b="0"/>
            <wp:wrapNone/>
            <wp:docPr id="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00025" cy="133350"/>
                    </a:xfrm>
                    <a:prstGeom prst="rect">
                      <a:avLst/>
                    </a:prstGeom>
                  </pic:spPr>
                </pic:pic>
              </a:graphicData>
            </a:graphic>
          </wp:anchor>
        </w:drawing>
      </w:r>
      <w:r>
        <w:rPr>
          <w:rFonts w:ascii="Calibri" w:hAnsi="Calibri"/>
        </w:rPr>
        <w:drawing>
          <wp:anchor distT="0" distB="0" distL="114300" distR="114300" simplePos="0" relativeHeight="251667456" behindDoc="0" locked="0" layoutInCell="1" allowOverlap="1">
            <wp:simplePos x="0" y="0"/>
            <wp:positionH relativeFrom="column">
              <wp:posOffset>5459095</wp:posOffset>
            </wp:positionH>
            <wp:positionV relativeFrom="paragraph">
              <wp:posOffset>-8824595</wp:posOffset>
            </wp:positionV>
            <wp:extent cx="257175" cy="161925"/>
            <wp:effectExtent l="0" t="0" r="0" b="0"/>
            <wp:wrapNone/>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57175" cy="161925"/>
                    </a:xfrm>
                    <a:prstGeom prst="rect">
                      <a:avLst/>
                    </a:prstGeom>
                  </pic:spPr>
                </pic:pic>
              </a:graphicData>
            </a:graphic>
          </wp:anchor>
        </w:drawing>
      </w:r>
      <w:r>
        <w:rPr>
          <w:rFonts w:ascii="Calibri" w:hAnsi="Calibri"/>
        </w:rPr>
        <w:pict>
          <v:line id="直接连接符 4" o:spid="_x0000_s2052" o:spt="20" style="position:absolute;left:0pt;flip:y;margin-left:-12.6pt;margin-top:-1.1pt;height:0pt;width:489pt;z-index:251666432;mso-width-relative:margin;mso-height-relative:margin;"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">
            <v:path arrowok="t"/>
            <v:fill focussize="0,0"/>
            <v:stroke weight="1pt" joinstyle="miter"/>
            <v:imagedata o:title=""/>
            <o:lock v:ext="edit"/>
          </v:line>
        </w:pict>
      </w: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720"/>
        <w:jc w:val="center"/>
        <w:rPr>
          <w:rFonts w:ascii="黑体" w:hAnsi="黑体" w:eastAsia="黑体"/>
          <w:color w:val="000000"/>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18" w:right="1134" w:bottom="1134" w:left="1588" w:header="851" w:footer="680" w:gutter="0"/>
          <w:pgNumType w:fmt="decimal" w:start="1"/>
          <w:cols w:space="720" w:num="1"/>
          <w:docGrid w:type="lines" w:linePitch="326" w:charSpace="0"/>
        </w:sectPr>
      </w:pPr>
      <w:bookmarkStart w:id="34" w:name="_Toc225228457"/>
      <w:bookmarkStart w:id="35" w:name="_Toc225228390"/>
    </w:p>
    <w:p>
      <w:pPr>
        <w:ind w:firstLine="643"/>
        <w:jc w:val="center"/>
        <w:rPr>
          <w:rFonts w:ascii="黑体" w:hAnsi="宋体" w:eastAsia="黑体"/>
          <w:b/>
          <w:bCs/>
          <w:color w:val="000000"/>
          <w:sz w:val="32"/>
          <w:szCs w:val="32"/>
        </w:rPr>
        <w:sectPr>
          <w:footerReference r:id="rId11" w:type="default"/>
          <w:type w:val="continuous"/>
          <w:pgSz w:w="11906" w:h="16838"/>
          <w:pgMar w:top="1418" w:right="1134" w:bottom="1134" w:left="1588" w:header="851" w:footer="850" w:gutter="0"/>
          <w:pgNumType w:fmt="decimal"/>
          <w:cols w:space="720" w:num="1"/>
          <w:docGrid w:type="lines" w:linePitch="312" w:charSpace="0"/>
        </w:sectPr>
      </w:pPr>
    </w:p>
    <w:p>
      <w:pPr>
        <w:ind w:firstLine="0" w:firstLineChars="0"/>
        <w:jc w:val="center"/>
        <w:rPr>
          <w:rFonts w:ascii="宋体" w:hAnsi="宋体"/>
          <w:b/>
          <w:bCs/>
          <w:color w:val="000000"/>
          <w:sz w:val="32"/>
          <w:szCs w:val="32"/>
        </w:rPr>
      </w:pPr>
      <w:r>
        <w:rPr>
          <w:rFonts w:hint="eastAsia" w:ascii="宋体" w:hAnsi="宋体"/>
          <w:b/>
          <w:bCs/>
          <w:color w:val="000000"/>
          <w:sz w:val="32"/>
          <w:szCs w:val="32"/>
        </w:rPr>
        <w:t>资源</w:t>
      </w:r>
      <w:r>
        <w:rPr>
          <w:rFonts w:ascii="宋体" w:hAnsi="宋体"/>
          <w:b/>
          <w:bCs/>
          <w:color w:val="000000"/>
          <w:sz w:val="32"/>
          <w:szCs w:val="32"/>
        </w:rPr>
        <w:t>环境与安全</w:t>
      </w:r>
      <w:r>
        <w:rPr>
          <w:rFonts w:hint="eastAsia" w:ascii="宋体" w:hAnsi="宋体"/>
          <w:b/>
          <w:bCs/>
          <w:color w:val="000000"/>
          <w:sz w:val="32"/>
          <w:szCs w:val="32"/>
        </w:rPr>
        <w:t>大类安全类</w:t>
      </w:r>
    </w:p>
    <w:p>
      <w:pPr>
        <w:spacing w:afterLines="50"/>
        <w:ind w:firstLine="0" w:firstLineChars="0"/>
        <w:jc w:val="center"/>
        <w:rPr>
          <w:rFonts w:ascii="宋体" w:hAnsi="宋体"/>
          <w:b/>
          <w:bCs/>
          <w:color w:val="000000"/>
          <w:sz w:val="32"/>
          <w:szCs w:val="32"/>
        </w:rPr>
      </w:pPr>
      <w:r>
        <w:rPr>
          <w:rFonts w:hint="eastAsia" w:ascii="宋体" w:hAnsi="宋体"/>
          <w:b/>
          <w:bCs/>
          <w:color w:val="000000"/>
          <w:sz w:val="32"/>
          <w:szCs w:val="32"/>
        </w:rPr>
        <w:t>《安全</w:t>
      </w:r>
      <w:r>
        <w:rPr>
          <w:rFonts w:ascii="宋体" w:hAnsi="宋体"/>
          <w:b/>
          <w:bCs/>
          <w:color w:val="000000"/>
          <w:sz w:val="32"/>
          <w:szCs w:val="32"/>
        </w:rPr>
        <w:t>技术与管理</w:t>
      </w:r>
      <w:r>
        <w:rPr>
          <w:rFonts w:hint="eastAsia" w:ascii="宋体" w:hAnsi="宋体"/>
          <w:b/>
          <w:bCs/>
          <w:color w:val="000000"/>
          <w:sz w:val="32"/>
          <w:szCs w:val="32"/>
        </w:rPr>
        <w:t>》（专科）专业教学实施方案</w:t>
      </w:r>
      <w:bookmarkEnd w:id="34"/>
      <w:bookmarkEnd w:id="35"/>
    </w:p>
    <w:p>
      <w:pPr>
        <w:ind w:firstLine="420"/>
        <w:rPr>
          <w:rFonts w:ascii="宋体" w:hAnsi="宋体"/>
          <w:sz w:val="21"/>
          <w:szCs w:val="21"/>
        </w:rPr>
      </w:pPr>
      <w:r>
        <w:rPr>
          <w:rFonts w:hint="eastAsia" w:ascii="宋体" w:hAnsi="宋体"/>
          <w:sz w:val="21"/>
          <w:szCs w:val="21"/>
        </w:rPr>
        <w:t>为了保证国家开放大学西安分部</w:t>
      </w:r>
      <w:r>
        <w:rPr>
          <w:rFonts w:ascii="宋体" w:hAnsi="宋体"/>
          <w:sz w:val="21"/>
          <w:szCs w:val="21"/>
        </w:rPr>
        <w:t>《</w:t>
      </w:r>
      <w:r>
        <w:rPr>
          <w:rFonts w:hint="eastAsia" w:ascii="宋体" w:hAnsi="宋体"/>
          <w:sz w:val="21"/>
          <w:szCs w:val="21"/>
        </w:rPr>
        <w:t>安全技术</w:t>
      </w:r>
      <w:r>
        <w:rPr>
          <w:rFonts w:ascii="宋体" w:hAnsi="宋体"/>
          <w:sz w:val="21"/>
          <w:szCs w:val="21"/>
        </w:rPr>
        <w:t>与管理</w:t>
      </w:r>
      <w:r>
        <w:rPr>
          <w:rFonts w:hint="eastAsia" w:ascii="宋体" w:hAnsi="宋体"/>
          <w:sz w:val="21"/>
          <w:szCs w:val="21"/>
        </w:rPr>
        <w:t>》（专科）专业的教学实施，做好本专业的教学与教学管理工作，保证教学质量，实现技能型、应用型专门人才的培养目标，特制定本教学实施方案。</w:t>
      </w:r>
    </w:p>
    <w:p>
      <w:pPr>
        <w:spacing w:before="240" w:after="60"/>
        <w:ind w:firstLine="482"/>
        <w:jc w:val="left"/>
        <w:outlineLvl w:val="0"/>
        <w:rPr>
          <w:rFonts w:ascii="宋体" w:hAnsi="宋体"/>
          <w:b/>
          <w:bCs/>
        </w:rPr>
      </w:pPr>
      <w:bookmarkStart w:id="36" w:name="_Toc454304954"/>
      <w:r>
        <w:rPr>
          <w:rFonts w:hint="eastAsia" w:ascii="宋体" w:hAnsi="宋体"/>
          <w:b/>
          <w:bCs/>
        </w:rPr>
        <w:t>一</w:t>
      </w:r>
      <w:r>
        <w:rPr>
          <w:rFonts w:ascii="宋体" w:hAnsi="宋体"/>
          <w:b/>
          <w:bCs/>
        </w:rPr>
        <w:t>、</w:t>
      </w:r>
      <w:r>
        <w:rPr>
          <w:rFonts w:hint="eastAsia" w:ascii="宋体" w:hAnsi="宋体"/>
          <w:b/>
          <w:bCs/>
        </w:rPr>
        <w:t>专业教学特点</w:t>
      </w:r>
      <w:bookmarkEnd w:id="36"/>
    </w:p>
    <w:p>
      <w:pPr>
        <w:keepNext/>
        <w:keepLines/>
        <w:spacing w:beforeLines="20" w:afterLines="20"/>
        <w:ind w:firstLine="422"/>
        <w:jc w:val="left"/>
        <w:outlineLvl w:val="0"/>
        <w:rPr>
          <w:rFonts w:ascii="宋体" w:hAnsi="宋体"/>
          <w:b/>
          <w:bCs/>
          <w:kern w:val="44"/>
          <w:sz w:val="21"/>
          <w:szCs w:val="21"/>
        </w:rPr>
      </w:pPr>
      <w:bookmarkStart w:id="37" w:name="_Toc454304955"/>
      <w:r>
        <w:rPr>
          <w:rFonts w:hint="eastAsia" w:ascii="宋体" w:hAnsi="宋体"/>
          <w:b/>
          <w:bCs/>
          <w:kern w:val="44"/>
          <w:sz w:val="21"/>
          <w:szCs w:val="21"/>
        </w:rPr>
        <w:t>（</w:t>
      </w:r>
      <w:r>
        <w:rPr>
          <w:rFonts w:ascii="宋体" w:hAnsi="宋体"/>
          <w:b/>
          <w:bCs/>
          <w:kern w:val="44"/>
          <w:sz w:val="21"/>
          <w:szCs w:val="21"/>
        </w:rPr>
        <w:t>一）</w:t>
      </w:r>
      <w:r>
        <w:rPr>
          <w:rFonts w:hint="eastAsia" w:ascii="宋体" w:hAnsi="宋体"/>
          <w:b/>
          <w:bCs/>
          <w:kern w:val="44"/>
          <w:sz w:val="21"/>
          <w:szCs w:val="21"/>
        </w:rPr>
        <w:t>学生特点</w:t>
      </w:r>
      <w:bookmarkEnd w:id="37"/>
    </w:p>
    <w:p>
      <w:pPr>
        <w:ind w:firstLine="420"/>
        <w:rPr>
          <w:rFonts w:ascii="宋体" w:hAnsi="宋体"/>
          <w:sz w:val="21"/>
          <w:szCs w:val="21"/>
        </w:rPr>
      </w:pPr>
      <w:r>
        <w:rPr>
          <w:rFonts w:hint="eastAsia" w:ascii="宋体" w:hAnsi="宋体"/>
          <w:sz w:val="21"/>
          <w:szCs w:val="21"/>
        </w:rPr>
        <w:t>本专业的学生既有普通高中、职业高中、技工学校和中等专业学校毕业生，也有志于在安全技术及管理领域实现人生理想的其他行业的在职人员，主要以在职成人的业余学习为主。本专业培养面向生产、建设、管理一线，具有评价、监测与监督、预防控制与技术管理工作的高级技术应用型人才。本专业毕业生可以到矿山、建筑、石油、化工、电力、城建、民航、交通、保险和政府等部门从事安全设计、安全评价、安全监测与监督、预防控制与技术管理工作。</w:t>
      </w:r>
    </w:p>
    <w:p>
      <w:pPr>
        <w:keepNext/>
        <w:keepLines/>
        <w:spacing w:beforeLines="20" w:afterLines="20"/>
        <w:ind w:firstLine="422"/>
        <w:jc w:val="left"/>
        <w:outlineLvl w:val="0"/>
        <w:rPr>
          <w:rFonts w:ascii="宋体" w:hAnsi="宋体"/>
          <w:b/>
          <w:bCs/>
          <w:kern w:val="44"/>
          <w:sz w:val="21"/>
          <w:szCs w:val="21"/>
        </w:rPr>
      </w:pPr>
      <w:bookmarkStart w:id="38" w:name="_Toc454304956"/>
      <w:r>
        <w:rPr>
          <w:rFonts w:hint="eastAsia" w:ascii="宋体" w:hAnsi="宋体"/>
          <w:b/>
          <w:bCs/>
          <w:kern w:val="44"/>
          <w:sz w:val="21"/>
          <w:szCs w:val="21"/>
        </w:rPr>
        <w:t>（</w:t>
      </w:r>
      <w:r>
        <w:rPr>
          <w:rFonts w:ascii="宋体" w:hAnsi="宋体"/>
          <w:b/>
          <w:bCs/>
          <w:kern w:val="44"/>
          <w:sz w:val="21"/>
          <w:szCs w:val="21"/>
        </w:rPr>
        <w:t>二）</w:t>
      </w:r>
      <w:r>
        <w:rPr>
          <w:rFonts w:hint="eastAsia" w:ascii="宋体" w:hAnsi="宋体"/>
          <w:b/>
          <w:bCs/>
          <w:kern w:val="44"/>
          <w:sz w:val="21"/>
          <w:szCs w:val="21"/>
        </w:rPr>
        <w:t>课程特点</w:t>
      </w:r>
      <w:bookmarkEnd w:id="38"/>
    </w:p>
    <w:p>
      <w:pPr>
        <w:ind w:firstLine="420"/>
        <w:rPr>
          <w:rFonts w:ascii="宋体" w:hAnsi="宋体"/>
          <w:sz w:val="21"/>
          <w:szCs w:val="21"/>
        </w:rPr>
      </w:pPr>
      <w:r>
        <w:rPr>
          <w:rFonts w:hint="eastAsia" w:ascii="宋体" w:hAnsi="宋体"/>
          <w:sz w:val="21"/>
          <w:szCs w:val="21"/>
        </w:rPr>
        <w:t>本专业的主要课程按教学计划进行内容可以分为六类：</w:t>
      </w:r>
    </w:p>
    <w:p>
      <w:pPr>
        <w:spacing w:before="240" w:after="60"/>
        <w:ind w:firstLine="422"/>
        <w:jc w:val="left"/>
        <w:outlineLvl w:val="1"/>
        <w:rPr>
          <w:rFonts w:ascii="宋体" w:hAnsi="宋体"/>
          <w:b/>
          <w:bCs/>
          <w:kern w:val="28"/>
          <w:sz w:val="21"/>
          <w:szCs w:val="21"/>
        </w:rPr>
      </w:pPr>
      <w:bookmarkStart w:id="39" w:name="_Toc454304957"/>
      <w:r>
        <w:rPr>
          <w:rFonts w:ascii="宋体" w:hAnsi="宋体"/>
          <w:b/>
          <w:bCs/>
          <w:kern w:val="28"/>
          <w:sz w:val="21"/>
          <w:szCs w:val="21"/>
        </w:rPr>
        <w:t>1.公共基础课程</w:t>
      </w:r>
      <w:bookmarkEnd w:id="39"/>
    </w:p>
    <w:p>
      <w:pPr>
        <w:ind w:firstLine="420"/>
        <w:rPr>
          <w:rFonts w:ascii="宋体" w:hAnsi="宋体"/>
          <w:sz w:val="21"/>
          <w:szCs w:val="21"/>
        </w:rPr>
      </w:pPr>
      <w:r>
        <w:rPr>
          <w:rFonts w:ascii="宋体" w:hAnsi="宋体"/>
          <w:sz w:val="21"/>
          <w:szCs w:val="21"/>
        </w:rPr>
        <w:t>主要进行公共基础知识的普及，开设的课程有：《中国特色社会主义理论体系概论》、《国家开放大学学习指南》、《英语</w:t>
      </w:r>
      <w:r>
        <w:rPr>
          <w:rFonts w:hint="eastAsia" w:ascii="宋体" w:hAnsi="宋体" w:cs="宋体"/>
          <w:sz w:val="21"/>
          <w:szCs w:val="21"/>
        </w:rPr>
        <w:t>Ⅰ</w:t>
      </w:r>
      <w:r>
        <w:rPr>
          <w:rFonts w:ascii="宋体" w:hAnsi="宋体"/>
          <w:sz w:val="21"/>
          <w:szCs w:val="21"/>
        </w:rPr>
        <w:t>（1）》、《计算机文化基础》和《高等数学基础》。</w:t>
      </w:r>
    </w:p>
    <w:p>
      <w:pPr>
        <w:spacing w:before="240" w:after="60"/>
        <w:ind w:firstLine="422"/>
        <w:jc w:val="left"/>
        <w:outlineLvl w:val="1"/>
        <w:rPr>
          <w:rFonts w:ascii="宋体" w:hAnsi="宋体"/>
          <w:b/>
          <w:bCs/>
          <w:kern w:val="28"/>
          <w:sz w:val="21"/>
          <w:szCs w:val="21"/>
        </w:rPr>
      </w:pPr>
      <w:bookmarkStart w:id="40" w:name="_Toc454304958"/>
      <w:r>
        <w:rPr>
          <w:rFonts w:ascii="宋体" w:hAnsi="宋体"/>
          <w:b/>
          <w:bCs/>
          <w:kern w:val="28"/>
          <w:sz w:val="21"/>
          <w:szCs w:val="21"/>
        </w:rPr>
        <w:t>2.专业基础课程</w:t>
      </w:r>
      <w:bookmarkEnd w:id="40"/>
    </w:p>
    <w:p>
      <w:pPr>
        <w:ind w:firstLine="420"/>
        <w:rPr>
          <w:rFonts w:ascii="宋体" w:hAnsi="宋体"/>
          <w:sz w:val="21"/>
          <w:szCs w:val="21"/>
        </w:rPr>
      </w:pPr>
      <w:r>
        <w:rPr>
          <w:rFonts w:ascii="宋体" w:hAnsi="宋体"/>
          <w:sz w:val="21"/>
          <w:szCs w:val="21"/>
        </w:rPr>
        <w:t>主要涉及安全技术与管理入门的基础性知识，开设的课程有：《工程制图基础》、《安全系统工程》、《安全生产原理》、《安全原理》、《安全人机工程》、《工业通风及除尘》、《流体力学和热工学基础》、《安全管理文书写作》、《信息管理系统》等，为接下来专业实践教学工作的顺利开展提供基础和保障。</w:t>
      </w:r>
    </w:p>
    <w:p>
      <w:pPr>
        <w:spacing w:before="240" w:after="60"/>
        <w:ind w:firstLine="422"/>
        <w:jc w:val="left"/>
        <w:outlineLvl w:val="1"/>
        <w:rPr>
          <w:rFonts w:ascii="宋体" w:hAnsi="宋体"/>
          <w:b/>
          <w:bCs/>
          <w:kern w:val="28"/>
          <w:sz w:val="21"/>
          <w:szCs w:val="21"/>
        </w:rPr>
      </w:pPr>
      <w:bookmarkStart w:id="41" w:name="_Toc454304959"/>
      <w:r>
        <w:rPr>
          <w:rFonts w:ascii="宋体" w:hAnsi="宋体"/>
          <w:b/>
          <w:bCs/>
          <w:kern w:val="28"/>
          <w:sz w:val="21"/>
          <w:szCs w:val="21"/>
        </w:rPr>
        <w:t>3.</w:t>
      </w:r>
      <w:r>
        <w:rPr>
          <w:rFonts w:hint="eastAsia" w:ascii="宋体" w:hAnsi="宋体"/>
          <w:b/>
          <w:bCs/>
          <w:kern w:val="28"/>
          <w:sz w:val="21"/>
          <w:szCs w:val="21"/>
        </w:rPr>
        <w:t>专业课程</w:t>
      </w:r>
      <w:bookmarkEnd w:id="41"/>
    </w:p>
    <w:p>
      <w:pPr>
        <w:ind w:firstLine="420"/>
        <w:rPr>
          <w:rFonts w:ascii="宋体" w:hAnsi="宋体"/>
          <w:sz w:val="21"/>
          <w:szCs w:val="21"/>
        </w:rPr>
      </w:pPr>
      <w:r>
        <w:rPr>
          <w:rFonts w:hint="eastAsia" w:ascii="宋体" w:hAnsi="宋体"/>
          <w:sz w:val="21"/>
          <w:szCs w:val="21"/>
        </w:rPr>
        <w:t>主要涉及理论教学与实践性教学相结合的课程，开设的课程有：《特种设备安全》、《事故管理与应急处置》《防火防爆技术》、《电气安全技术》、《职业卫生基础》、《安全评价》、《安全监测与监控》、《安全法规》、《高危行业安全》、《工程项目管理》等。安全技术与管理专业在教学中应注意理论教学和实际相结合，要挖掘不同形式的实践内容。在宏观类的课程授课中，要求老师增加案例讲解和分析，对于微观类的课程，更是清晰明了地阐述安全技术专业工作和服务的目的、要求、技巧和要点，让学生学到第一手的安全技术与管理专业技能知识。</w:t>
      </w:r>
    </w:p>
    <w:p>
      <w:pPr>
        <w:spacing w:before="240" w:after="60"/>
        <w:ind w:firstLine="422"/>
        <w:jc w:val="left"/>
        <w:outlineLvl w:val="1"/>
        <w:rPr>
          <w:rFonts w:ascii="宋体" w:hAnsi="宋体"/>
          <w:b/>
          <w:bCs/>
          <w:kern w:val="28"/>
          <w:sz w:val="21"/>
          <w:szCs w:val="21"/>
        </w:rPr>
      </w:pPr>
      <w:bookmarkStart w:id="42" w:name="_Toc454304960"/>
      <w:r>
        <w:rPr>
          <w:rFonts w:ascii="宋体" w:hAnsi="宋体"/>
          <w:b/>
          <w:bCs/>
          <w:kern w:val="28"/>
          <w:sz w:val="21"/>
          <w:szCs w:val="21"/>
        </w:rPr>
        <w:t>4.通识课课程</w:t>
      </w:r>
      <w:bookmarkEnd w:id="42"/>
    </w:p>
    <w:p>
      <w:pPr>
        <w:ind w:firstLine="420"/>
        <w:rPr>
          <w:rFonts w:ascii="宋体" w:hAnsi="宋体"/>
          <w:sz w:val="21"/>
          <w:szCs w:val="21"/>
        </w:rPr>
      </w:pPr>
      <w:r>
        <w:rPr>
          <w:rFonts w:ascii="宋体" w:hAnsi="宋体"/>
          <w:sz w:val="21"/>
          <w:szCs w:val="21"/>
        </w:rPr>
        <w:t>主要涉及基础性知识的相关课程，使学生拓宽视野，培养独立思考与判断能力。该模块的主要专业课程有：《地域文化》、《社交礼仪》、《实用法律基础》、《实用写作》、《安全评价》、《</w:t>
      </w:r>
      <w:r>
        <w:rPr>
          <w:rFonts w:hint="eastAsia" w:ascii="宋体" w:hAnsi="宋体"/>
          <w:sz w:val="21"/>
          <w:szCs w:val="21"/>
        </w:rPr>
        <w:t>汉唐</w:t>
      </w:r>
      <w:r>
        <w:rPr>
          <w:rFonts w:ascii="宋体" w:hAnsi="宋体"/>
          <w:sz w:val="21"/>
          <w:szCs w:val="21"/>
        </w:rPr>
        <w:t>文化》等课程。</w:t>
      </w:r>
    </w:p>
    <w:p>
      <w:pPr>
        <w:spacing w:before="240" w:after="60"/>
        <w:ind w:firstLine="422"/>
        <w:jc w:val="left"/>
        <w:outlineLvl w:val="1"/>
        <w:rPr>
          <w:rFonts w:ascii="宋体" w:hAnsi="宋体"/>
          <w:b/>
          <w:bCs/>
          <w:kern w:val="28"/>
          <w:sz w:val="21"/>
          <w:szCs w:val="21"/>
        </w:rPr>
      </w:pPr>
      <w:bookmarkStart w:id="43" w:name="_Toc454304961"/>
      <w:r>
        <w:rPr>
          <w:rFonts w:ascii="宋体" w:hAnsi="宋体"/>
          <w:b/>
          <w:bCs/>
          <w:kern w:val="28"/>
          <w:sz w:val="21"/>
          <w:szCs w:val="21"/>
        </w:rPr>
        <w:t>5.综</w:t>
      </w:r>
      <w:r>
        <w:rPr>
          <w:rFonts w:hint="eastAsia" w:ascii="宋体" w:hAnsi="宋体"/>
          <w:b/>
          <w:bCs/>
          <w:kern w:val="28"/>
          <w:sz w:val="21"/>
          <w:szCs w:val="21"/>
        </w:rPr>
        <w:t>合实践课程</w:t>
      </w:r>
      <w:bookmarkEnd w:id="43"/>
    </w:p>
    <w:p>
      <w:pPr>
        <w:ind w:firstLine="420"/>
        <w:rPr>
          <w:rFonts w:ascii="宋体" w:hAnsi="宋体"/>
          <w:sz w:val="21"/>
          <w:szCs w:val="21"/>
        </w:rPr>
      </w:pPr>
      <w:r>
        <w:rPr>
          <w:rFonts w:hint="eastAsia" w:ascii="宋体" w:hAnsi="宋体"/>
          <w:sz w:val="21"/>
          <w:szCs w:val="21"/>
        </w:rPr>
        <w:t>为使学生适应社会需要，必须通过实践性教学使理论与实际相结合，开设的课程有：《毕业实践》、《工业通风除尘课程设计》、《防火防爆课程设计》、《安全评价课程设计》、《职业卫生及工业通风类实验》，使学生掌握该专业的实际技能，为将来实际从事相关岗位工作打好基础。</w:t>
      </w:r>
    </w:p>
    <w:p>
      <w:pPr>
        <w:spacing w:before="240" w:after="60"/>
        <w:ind w:firstLine="422"/>
        <w:jc w:val="left"/>
        <w:outlineLvl w:val="1"/>
        <w:rPr>
          <w:rFonts w:ascii="宋体" w:hAnsi="宋体"/>
          <w:b/>
          <w:bCs/>
          <w:kern w:val="28"/>
          <w:sz w:val="21"/>
          <w:szCs w:val="21"/>
        </w:rPr>
      </w:pPr>
      <w:bookmarkStart w:id="44" w:name="_Toc454304962"/>
      <w:r>
        <w:rPr>
          <w:rFonts w:ascii="宋体" w:hAnsi="宋体"/>
          <w:b/>
          <w:bCs/>
          <w:kern w:val="28"/>
          <w:sz w:val="21"/>
          <w:szCs w:val="21"/>
        </w:rPr>
        <w:t>6.</w:t>
      </w:r>
      <w:r>
        <w:rPr>
          <w:rFonts w:hint="eastAsia" w:ascii="宋体" w:hAnsi="宋体"/>
          <w:b/>
          <w:bCs/>
          <w:kern w:val="28"/>
          <w:sz w:val="21"/>
          <w:szCs w:val="21"/>
        </w:rPr>
        <w:t>特色课程</w:t>
      </w:r>
      <w:bookmarkEnd w:id="44"/>
    </w:p>
    <w:p>
      <w:pPr>
        <w:ind w:firstLine="420"/>
        <w:rPr>
          <w:rFonts w:ascii="宋体" w:hAnsi="宋体"/>
          <w:sz w:val="21"/>
          <w:szCs w:val="21"/>
        </w:rPr>
      </w:pPr>
      <w:r>
        <w:rPr>
          <w:rFonts w:hint="eastAsia" w:ascii="宋体" w:hAnsi="宋体"/>
          <w:sz w:val="21"/>
          <w:szCs w:val="21"/>
        </w:rPr>
        <w:t>为了培养适应安全技术与管理专业工作及相关行业岗位需求人才，结合行业特点，设计本专业的拓展课程，开设的课程有：《消防安全》、《建筑施工安全》、《安全工程师培训课程》等，通过上述课程学习相关岗位的工作特点、基本流程和技术要求，培养学生专业技术能力。</w:t>
      </w:r>
    </w:p>
    <w:p>
      <w:pPr>
        <w:keepNext/>
        <w:keepLines/>
        <w:spacing w:beforeLines="20" w:afterLines="20"/>
        <w:ind w:firstLine="422"/>
        <w:jc w:val="left"/>
        <w:outlineLvl w:val="0"/>
        <w:rPr>
          <w:rFonts w:ascii="宋体" w:hAnsi="宋体"/>
          <w:b/>
          <w:bCs/>
          <w:kern w:val="44"/>
          <w:sz w:val="21"/>
          <w:szCs w:val="21"/>
        </w:rPr>
      </w:pPr>
      <w:bookmarkStart w:id="45" w:name="_Toc454304963"/>
      <w:r>
        <w:rPr>
          <w:rFonts w:hint="eastAsia" w:ascii="宋体" w:hAnsi="宋体"/>
          <w:b/>
          <w:bCs/>
          <w:kern w:val="44"/>
          <w:sz w:val="21"/>
          <w:szCs w:val="21"/>
        </w:rPr>
        <w:t>（</w:t>
      </w:r>
      <w:r>
        <w:rPr>
          <w:rFonts w:ascii="宋体" w:hAnsi="宋体"/>
          <w:b/>
          <w:bCs/>
          <w:kern w:val="44"/>
          <w:sz w:val="21"/>
          <w:szCs w:val="21"/>
        </w:rPr>
        <w:t>三）</w:t>
      </w:r>
      <w:r>
        <w:rPr>
          <w:rFonts w:hint="eastAsia" w:ascii="宋体" w:hAnsi="宋体"/>
          <w:b/>
          <w:bCs/>
          <w:kern w:val="44"/>
          <w:sz w:val="21"/>
          <w:szCs w:val="21"/>
        </w:rPr>
        <w:t>专业综合能力方面</w:t>
      </w:r>
      <w:bookmarkEnd w:id="45"/>
    </w:p>
    <w:p>
      <w:pPr>
        <w:ind w:firstLine="420"/>
        <w:rPr>
          <w:rFonts w:ascii="宋体" w:hAnsi="宋体"/>
          <w:sz w:val="21"/>
          <w:szCs w:val="21"/>
        </w:rPr>
      </w:pPr>
      <w:r>
        <w:rPr>
          <w:rFonts w:hint="eastAsia" w:ascii="宋体" w:hAnsi="宋体"/>
          <w:sz w:val="21"/>
          <w:szCs w:val="21"/>
        </w:rPr>
        <w:t>通过本专业课程的学习，使学生具备基本的专业知识与技能：分析问题、解决问题的能力；知识更新的能力；计算机应用基本能力；团队协作精神与社会活动能力。具备安全生产法律法规，国家标准、行业标准的相关知识；工程识图与绘图能力；现场安全急救与护理；简单电工作业与电气隐患排查；危险有害物质检测与监控；系统安全分析与隐患排查；安全宣传教育的组织实施；企业安全管理体系建立与运行等方面的知识能</w:t>
      </w:r>
      <w:r>
        <w:rPr>
          <w:rFonts w:ascii="宋体" w:hAnsi="宋体"/>
          <w:sz w:val="21"/>
          <w:szCs w:val="21"/>
        </w:rPr>
        <w:t>力。</w:t>
      </w:r>
    </w:p>
    <w:p>
      <w:pPr>
        <w:spacing w:before="240" w:after="60"/>
        <w:ind w:firstLine="482"/>
        <w:jc w:val="left"/>
        <w:outlineLvl w:val="0"/>
        <w:rPr>
          <w:rFonts w:ascii="宋体" w:hAnsi="宋体"/>
          <w:b/>
          <w:bCs/>
        </w:rPr>
      </w:pPr>
      <w:bookmarkStart w:id="46" w:name="_Toc454304964"/>
      <w:r>
        <w:rPr>
          <w:rFonts w:hint="eastAsia" w:ascii="宋体" w:hAnsi="宋体"/>
          <w:b/>
          <w:bCs/>
        </w:rPr>
        <w:t>二、专业教学准备</w:t>
      </w:r>
      <w:bookmarkEnd w:id="46"/>
    </w:p>
    <w:p>
      <w:pPr>
        <w:keepNext/>
        <w:keepLines/>
        <w:spacing w:beforeLines="20" w:afterLines="20"/>
        <w:ind w:firstLine="422"/>
        <w:jc w:val="left"/>
        <w:outlineLvl w:val="0"/>
        <w:rPr>
          <w:rFonts w:ascii="宋体" w:hAnsi="宋体"/>
          <w:b/>
          <w:bCs/>
          <w:kern w:val="44"/>
          <w:sz w:val="21"/>
          <w:szCs w:val="21"/>
        </w:rPr>
      </w:pPr>
      <w:bookmarkStart w:id="47" w:name="_Toc454304965"/>
      <w:r>
        <w:rPr>
          <w:rFonts w:hint="eastAsia" w:ascii="宋体" w:hAnsi="宋体"/>
          <w:b/>
          <w:bCs/>
          <w:kern w:val="44"/>
          <w:sz w:val="21"/>
          <w:szCs w:val="21"/>
        </w:rPr>
        <w:t>（</w:t>
      </w:r>
      <w:r>
        <w:rPr>
          <w:rFonts w:ascii="宋体" w:hAnsi="宋体"/>
          <w:b/>
          <w:bCs/>
          <w:kern w:val="44"/>
          <w:sz w:val="21"/>
          <w:szCs w:val="21"/>
        </w:rPr>
        <w:t>一）</w:t>
      </w:r>
      <w:r>
        <w:rPr>
          <w:rFonts w:hint="eastAsia" w:ascii="宋体" w:hAnsi="宋体"/>
          <w:b/>
          <w:bCs/>
          <w:kern w:val="44"/>
          <w:sz w:val="21"/>
          <w:szCs w:val="21"/>
        </w:rPr>
        <w:t>条件准备</w:t>
      </w:r>
      <w:bookmarkEnd w:id="47"/>
    </w:p>
    <w:p>
      <w:pPr>
        <w:spacing w:before="240" w:after="60"/>
        <w:ind w:firstLine="422"/>
        <w:jc w:val="left"/>
        <w:outlineLvl w:val="1"/>
        <w:rPr>
          <w:rFonts w:ascii="宋体" w:hAnsi="宋体"/>
          <w:b/>
          <w:bCs/>
          <w:kern w:val="28"/>
          <w:sz w:val="21"/>
          <w:szCs w:val="21"/>
        </w:rPr>
      </w:pPr>
      <w:bookmarkStart w:id="48" w:name="_Toc454304966"/>
      <w:r>
        <w:rPr>
          <w:rFonts w:ascii="宋体" w:hAnsi="宋体"/>
          <w:b/>
          <w:bCs/>
          <w:kern w:val="28"/>
          <w:sz w:val="21"/>
          <w:szCs w:val="21"/>
        </w:rPr>
        <w:t>1.</w:t>
      </w:r>
      <w:r>
        <w:rPr>
          <w:rFonts w:hint="eastAsia" w:ascii="宋体" w:hAnsi="宋体"/>
          <w:b/>
          <w:bCs/>
          <w:kern w:val="28"/>
          <w:sz w:val="21"/>
          <w:szCs w:val="21"/>
        </w:rPr>
        <w:t>师资</w:t>
      </w:r>
      <w:bookmarkEnd w:id="48"/>
    </w:p>
    <w:p>
      <w:pPr>
        <w:ind w:firstLine="420"/>
        <w:rPr>
          <w:rFonts w:ascii="宋体" w:hAnsi="宋体"/>
          <w:sz w:val="21"/>
          <w:szCs w:val="21"/>
        </w:rPr>
      </w:pPr>
      <w:r>
        <w:rPr>
          <w:rFonts w:hint="eastAsia" w:ascii="宋体" w:hAnsi="宋体"/>
          <w:sz w:val="21"/>
          <w:szCs w:val="21"/>
        </w:rPr>
        <w:t>（1）国家开放大学西安分部</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宋体" w:hAnsi="宋体"/>
          <w:sz w:val="21"/>
          <w:szCs w:val="21"/>
        </w:rPr>
        <w:t>国家开放大学西安分部组建了双师型课程建设团队，由学科专家、行业中具有丰富实践经验和较</w:t>
      </w:r>
      <w:r>
        <w:rPr>
          <w:rFonts w:hint="eastAsia" w:asciiTheme="minorEastAsia" w:hAnsiTheme="minorEastAsia" w:eastAsiaTheme="minorEastAsia"/>
          <w:sz w:val="21"/>
          <w:szCs w:val="21"/>
        </w:rPr>
        <w:t>高理论素养的专家（教材主编、课程主讲）、专职教师（包括主持教师、教学管理人员、辅导教师）、教育技术人员等组成，开展一流的基于网络的课程学习资源建设，以确保课程教学资源的质量与水平。</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配备1名专业负责人，每门统设课程至少配备1名课程责任教师，每门省开课程应配备主讲教师和至少1名课程主持教师。至少应有2名以上同类专业毕业或从事3年以上同类专业教学的专职教师从事教学工作。</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专业负责人均具有本学科或相关学科高级专业技术职务、硕士以上（含）学位，原则上应具有5年以上安全技术行业从业经验及3年以上高校（科研机构）工作经历。</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（2）学习中心</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学习中心按照国家开放大学西安分部兼职教师聘任办法，聘请思想觉悟高、业务水平精的生产一线的工程技术人员担任兼职教师，并组织兼职教师的远程教育理论与方法培训，积极探索双师型课程教学团队的建设模式和运行机制。</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专（兼）职教师根据课程教学大纲和设计方案，利用多种媒体教学资源，进行教学辅导，指导学习者参加学习小组、实践调研活动，及时批阅学习者平时作业，提供学习者个别辅导。</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学习中心至少应有1名以上同类专业毕业或从事2年以上同类专业教学的专职教师从事教学工作。</w:t>
      </w:r>
    </w:p>
    <w:p>
      <w:pPr>
        <w:spacing w:before="240" w:after="60"/>
        <w:ind w:firstLine="422"/>
        <w:jc w:val="left"/>
        <w:outlineLvl w:val="1"/>
        <w:rPr>
          <w:rFonts w:ascii="宋体" w:hAnsi="宋体"/>
          <w:b/>
          <w:bCs/>
          <w:kern w:val="28"/>
          <w:sz w:val="21"/>
          <w:szCs w:val="21"/>
        </w:rPr>
      </w:pPr>
      <w:bookmarkStart w:id="49" w:name="_Toc454304967"/>
      <w:r>
        <w:rPr>
          <w:rFonts w:ascii="宋体" w:hAnsi="宋体"/>
          <w:b/>
          <w:bCs/>
          <w:kern w:val="28"/>
          <w:sz w:val="21"/>
          <w:szCs w:val="21"/>
        </w:rPr>
        <w:t>2.</w:t>
      </w:r>
      <w:r>
        <w:rPr>
          <w:rFonts w:hint="eastAsia" w:ascii="宋体" w:hAnsi="宋体"/>
          <w:b/>
          <w:bCs/>
          <w:kern w:val="28"/>
          <w:sz w:val="21"/>
          <w:szCs w:val="21"/>
        </w:rPr>
        <w:t>实验</w:t>
      </w:r>
      <w:r>
        <w:rPr>
          <w:rFonts w:ascii="宋体" w:hAnsi="宋体"/>
          <w:b/>
          <w:bCs/>
          <w:kern w:val="28"/>
          <w:sz w:val="21"/>
          <w:szCs w:val="21"/>
        </w:rPr>
        <w:t>、</w:t>
      </w:r>
      <w:r>
        <w:rPr>
          <w:rFonts w:hint="eastAsia" w:ascii="宋体" w:hAnsi="宋体"/>
          <w:b/>
          <w:bCs/>
          <w:kern w:val="28"/>
          <w:sz w:val="21"/>
          <w:szCs w:val="21"/>
        </w:rPr>
        <w:t>实训条件</w:t>
      </w:r>
      <w:bookmarkEnd w:id="49"/>
    </w:p>
    <w:p>
      <w:pPr>
        <w:ind w:firstLine="420"/>
        <w:rPr>
          <w:rFonts w:ascii="宋体" w:hAnsi="宋体"/>
          <w:sz w:val="21"/>
          <w:szCs w:val="21"/>
        </w:rPr>
      </w:pPr>
      <w:r>
        <w:rPr>
          <w:rFonts w:hint="eastAsia" w:ascii="宋体" w:hAnsi="宋体"/>
          <w:sz w:val="21"/>
          <w:szCs w:val="21"/>
        </w:rPr>
        <w:t>包括至少1名接受过专业培训的实训教师，能承担课程实践和综合实践等技能实训的课程教学任务。</w:t>
      </w:r>
    </w:p>
    <w:p>
      <w:pPr>
        <w:ind w:firstLine="420"/>
        <w:rPr>
          <w:rFonts w:ascii="宋体" w:hAnsi="宋体"/>
          <w:sz w:val="21"/>
          <w:szCs w:val="21"/>
        </w:rPr>
      </w:pPr>
      <w:r>
        <w:rPr>
          <w:rFonts w:hint="eastAsia" w:ascii="宋体" w:hAnsi="宋体"/>
          <w:sz w:val="21"/>
          <w:szCs w:val="21"/>
        </w:rPr>
        <w:t>办学单位除应具有自学辅导教室（集中辅导答疑）、多媒体教室（课件演示）、机房、实验室外，应充分利用社会办学资源，设立相对稳定的教学实训基地或场所。本专业开展实践环节的设备应按照本实施方案中关于本专业实验、实训的具体要求配备。</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凡不具备实训基地或场所的办学单位可参照以下方案切实创造开展实践教学的条件：</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（1）可借助普通高校、高职院校以及企业培训中心的实训场地开展实践性教学。</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可借助合作单位（企业培训中心或职业院校）设立的劳动部职业技能鉴定所（中心）。这些职业技能鉴定所（中心）不仅具备实训的硬件条件，而且按照劳动部相关规定，均已形成职业资格培训和考核的规范化管理。因此可以与其合作开展实践教学。</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（3）各办学机构应根据本专业开展实践性教学的实际需要，务实开设实验、实训场所，不必拘泥于形式。实验实训设备的数量应视办学规格而定。</w:t>
      </w:r>
    </w:p>
    <w:p>
      <w:pPr>
        <w:spacing w:before="240" w:after="60"/>
        <w:ind w:firstLine="422"/>
        <w:jc w:val="left"/>
        <w:outlineLvl w:val="1"/>
        <w:rPr>
          <w:rFonts w:ascii="宋体" w:hAnsi="宋体"/>
          <w:b/>
          <w:bCs/>
          <w:kern w:val="28"/>
          <w:sz w:val="21"/>
          <w:szCs w:val="21"/>
        </w:rPr>
      </w:pPr>
      <w:bookmarkStart w:id="50" w:name="_Toc454304968"/>
    </w:p>
    <w:p>
      <w:pPr>
        <w:spacing w:before="240" w:after="60"/>
        <w:ind w:firstLine="422"/>
        <w:jc w:val="left"/>
        <w:outlineLvl w:val="1"/>
        <w:rPr>
          <w:rFonts w:ascii="宋体" w:hAnsi="宋体"/>
          <w:b/>
          <w:bCs/>
          <w:kern w:val="28"/>
          <w:sz w:val="21"/>
          <w:szCs w:val="21"/>
        </w:rPr>
      </w:pPr>
      <w:r>
        <w:rPr>
          <w:rFonts w:ascii="宋体" w:hAnsi="宋体"/>
          <w:b/>
          <w:bCs/>
          <w:kern w:val="28"/>
          <w:sz w:val="21"/>
          <w:szCs w:val="21"/>
        </w:rPr>
        <w:t>3.</w:t>
      </w:r>
      <w:r>
        <w:rPr>
          <w:rFonts w:hint="eastAsia" w:ascii="宋体" w:hAnsi="宋体"/>
          <w:b/>
          <w:bCs/>
          <w:kern w:val="28"/>
          <w:sz w:val="21"/>
          <w:szCs w:val="21"/>
        </w:rPr>
        <w:t>教学基本条件</w:t>
      </w:r>
      <w:bookmarkEnd w:id="50"/>
    </w:p>
    <w:p>
      <w:pPr>
        <w:ind w:firstLine="420"/>
        <w:rPr>
          <w:rFonts w:ascii="宋体" w:hAnsi="宋体"/>
          <w:sz w:val="21"/>
          <w:szCs w:val="21"/>
        </w:rPr>
      </w:pPr>
      <w:r>
        <w:rPr>
          <w:rFonts w:hint="eastAsia" w:ascii="宋体" w:hAnsi="宋体"/>
          <w:sz w:val="21"/>
          <w:szCs w:val="21"/>
        </w:rPr>
        <w:t>国家开放大学西安分部和学习中心应配备适应开放教育学习使用的各种硬件支撑条件，包括视听教室、多媒体、网络和计算机教室、语音教室、讨论和辅导教室等；其次是要有教学及管理的软件支持条件，包括一定数量的专职管理人员、比较完善的教学管理制度与办法、根据国家开放大学的要求配备教务管理软件、全套教学资源，并与国家开放大学及其分部、学习中心之间保持畅通的信息沟通。</w:t>
      </w:r>
    </w:p>
    <w:p>
      <w:pPr>
        <w:keepNext/>
        <w:keepLines/>
        <w:spacing w:beforeLines="20" w:afterLines="20"/>
        <w:ind w:firstLine="422"/>
        <w:jc w:val="left"/>
        <w:outlineLvl w:val="0"/>
        <w:rPr>
          <w:rFonts w:ascii="宋体" w:hAnsi="宋体"/>
          <w:b/>
          <w:bCs/>
          <w:kern w:val="44"/>
          <w:sz w:val="21"/>
          <w:szCs w:val="21"/>
        </w:rPr>
      </w:pPr>
      <w:bookmarkStart w:id="51" w:name="_Toc454304969"/>
      <w:r>
        <w:rPr>
          <w:rFonts w:hint="eastAsia" w:ascii="宋体" w:hAnsi="宋体"/>
          <w:b/>
          <w:bCs/>
          <w:kern w:val="44"/>
          <w:sz w:val="21"/>
          <w:szCs w:val="21"/>
        </w:rPr>
        <w:t>（</w:t>
      </w:r>
      <w:r>
        <w:rPr>
          <w:rFonts w:ascii="宋体" w:hAnsi="宋体"/>
          <w:b/>
          <w:bCs/>
          <w:kern w:val="44"/>
          <w:sz w:val="21"/>
          <w:szCs w:val="21"/>
        </w:rPr>
        <w:t>二）</w:t>
      </w:r>
      <w:r>
        <w:rPr>
          <w:rFonts w:hint="eastAsia" w:ascii="宋体" w:hAnsi="宋体"/>
          <w:b/>
          <w:bCs/>
          <w:kern w:val="44"/>
          <w:sz w:val="21"/>
          <w:szCs w:val="21"/>
        </w:rPr>
        <w:t>教学文件准备</w:t>
      </w:r>
      <w:bookmarkEnd w:id="51"/>
    </w:p>
    <w:p>
      <w:pPr>
        <w:spacing w:before="240" w:after="60"/>
        <w:ind w:firstLine="422"/>
        <w:jc w:val="left"/>
        <w:outlineLvl w:val="1"/>
        <w:rPr>
          <w:rFonts w:ascii="宋体" w:hAnsi="宋体"/>
          <w:b/>
          <w:bCs/>
          <w:kern w:val="28"/>
          <w:sz w:val="21"/>
          <w:szCs w:val="21"/>
        </w:rPr>
      </w:pPr>
      <w:bookmarkStart w:id="52" w:name="_Toc454304970"/>
      <w:r>
        <w:rPr>
          <w:rFonts w:ascii="宋体" w:hAnsi="宋体"/>
          <w:b/>
          <w:bCs/>
          <w:kern w:val="28"/>
          <w:sz w:val="21"/>
          <w:szCs w:val="21"/>
        </w:rPr>
        <w:t>1.</w:t>
      </w:r>
      <w:r>
        <w:rPr>
          <w:rFonts w:hint="eastAsia" w:ascii="宋体" w:hAnsi="宋体"/>
          <w:b/>
          <w:bCs/>
          <w:kern w:val="28"/>
          <w:sz w:val="21"/>
          <w:szCs w:val="21"/>
        </w:rPr>
        <w:t>实施性专业培养方案的制定</w:t>
      </w:r>
      <w:bookmarkEnd w:id="52"/>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实施性专业培养方案是国家开放大学西安分部根据国家开放大学专业培养方案、结合地方经济社会发展和本地区学生的需要制订的实施性教学文件。实施性专业培养方案包括实施性专业规则和专业教学实施细则。</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实施性专业规则的内容结构与国家开放大学编制的专业规则相同，实施性专业规则的统设/必修课程与国家开放大学专业培养方案保持一致，非统设课程/选修可在国家开放大学专业规则的基础上进行适当调整。</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（2）专业教学实施细则内容包括专业师资、教学设施、入学教育安排、课程教学和综合实践教学的具体安排，教学支持服务的具体安排，教学检查与评价的安排等。</w:t>
      </w:r>
    </w:p>
    <w:p>
      <w:pPr>
        <w:spacing w:before="240" w:after="60"/>
        <w:ind w:firstLine="422"/>
        <w:jc w:val="left"/>
        <w:outlineLvl w:val="1"/>
        <w:rPr>
          <w:rFonts w:ascii="宋体" w:hAnsi="宋体"/>
          <w:b/>
          <w:bCs/>
          <w:kern w:val="28"/>
          <w:sz w:val="21"/>
          <w:szCs w:val="21"/>
        </w:rPr>
      </w:pPr>
      <w:bookmarkStart w:id="53" w:name="_Toc454304971"/>
      <w:r>
        <w:rPr>
          <w:rFonts w:ascii="宋体" w:hAnsi="宋体"/>
          <w:b/>
          <w:bCs/>
          <w:kern w:val="28"/>
          <w:sz w:val="21"/>
          <w:szCs w:val="21"/>
        </w:rPr>
        <w:t>2.课</w:t>
      </w:r>
      <w:r>
        <w:rPr>
          <w:rFonts w:hint="eastAsia" w:ascii="宋体" w:hAnsi="宋体"/>
          <w:b/>
          <w:bCs/>
          <w:kern w:val="28"/>
          <w:sz w:val="21"/>
          <w:szCs w:val="21"/>
        </w:rPr>
        <w:t>程教学大纲的制定</w:t>
      </w:r>
      <w:bookmarkEnd w:id="53"/>
    </w:p>
    <w:p>
      <w:pPr>
        <w:ind w:firstLine="420"/>
        <w:rPr>
          <w:rFonts w:ascii="宋体" w:hAnsi="宋体"/>
          <w:sz w:val="21"/>
          <w:szCs w:val="21"/>
        </w:rPr>
      </w:pPr>
      <w:r>
        <w:rPr>
          <w:rFonts w:hint="eastAsia" w:ascii="宋体" w:hAnsi="宋体"/>
          <w:sz w:val="21"/>
          <w:szCs w:val="21"/>
        </w:rPr>
        <w:t>教学大纲是进行课程教学、考核和教学质量评估的指导性文件，也是编写（制）教材和其他多种媒体教学资源的依据。课程教学大纲包括大纲说明、媒体使用和教学过程建议、教学内容和教学要求等三个部分。</w:t>
      </w:r>
    </w:p>
    <w:p>
      <w:pPr>
        <w:ind w:firstLine="420"/>
        <w:rPr>
          <w:rFonts w:ascii="宋体" w:hAnsi="宋体"/>
          <w:sz w:val="21"/>
          <w:szCs w:val="21"/>
        </w:rPr>
      </w:pPr>
      <w:r>
        <w:rPr>
          <w:rFonts w:hint="eastAsia" w:ascii="宋体" w:hAnsi="宋体"/>
          <w:sz w:val="21"/>
          <w:szCs w:val="21"/>
        </w:rPr>
        <w:t>统设课程的教学大纲由国家开放大学教务处组织教学部门制定，非统设课程的教学大纲由国家开放大学西安分部教务处组织教学部门制定。</w:t>
      </w:r>
    </w:p>
    <w:p>
      <w:pPr>
        <w:spacing w:before="240" w:after="60"/>
        <w:ind w:firstLine="422"/>
        <w:jc w:val="left"/>
        <w:outlineLvl w:val="1"/>
        <w:rPr>
          <w:rFonts w:ascii="宋体" w:hAnsi="宋体"/>
          <w:b/>
          <w:bCs/>
          <w:kern w:val="28"/>
          <w:sz w:val="21"/>
          <w:szCs w:val="21"/>
        </w:rPr>
      </w:pPr>
      <w:bookmarkStart w:id="54" w:name="_Toc454304972"/>
      <w:r>
        <w:rPr>
          <w:rFonts w:ascii="宋体" w:hAnsi="宋体"/>
          <w:b/>
          <w:bCs/>
          <w:kern w:val="28"/>
          <w:sz w:val="21"/>
          <w:szCs w:val="21"/>
        </w:rPr>
        <w:t>3.</w:t>
      </w:r>
      <w:r>
        <w:rPr>
          <w:rFonts w:hint="eastAsia" w:ascii="宋体" w:hAnsi="宋体"/>
          <w:b/>
          <w:bCs/>
          <w:kern w:val="28"/>
          <w:sz w:val="21"/>
          <w:szCs w:val="21"/>
        </w:rPr>
        <w:t>课程教学实施细则（方案）</w:t>
      </w:r>
      <w:bookmarkEnd w:id="54"/>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课程教学实施细则包括统设课程（含统设必修课程、统设选修课程）教学实施细则（方案）和非统设课程教学实施细则（方案），前者是依据统设课程教学设计方案制定的实施性教学文件。</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统设课程和非统设课程的教学实施细则（方案）均由国家开放大学西安分部教学部门负责制定，由国家开放大学西安分部教务处统一发布。</w:t>
      </w:r>
    </w:p>
    <w:p>
      <w:pPr>
        <w:spacing w:before="240" w:after="60"/>
        <w:ind w:firstLine="422"/>
        <w:jc w:val="left"/>
        <w:outlineLvl w:val="1"/>
        <w:rPr>
          <w:rFonts w:ascii="宋体" w:hAnsi="宋体"/>
          <w:b/>
          <w:bCs/>
          <w:kern w:val="28"/>
          <w:sz w:val="21"/>
          <w:szCs w:val="21"/>
        </w:rPr>
      </w:pPr>
      <w:bookmarkStart w:id="55" w:name="_Toc454304973"/>
      <w:r>
        <w:rPr>
          <w:rFonts w:ascii="宋体" w:hAnsi="宋体"/>
          <w:b/>
          <w:bCs/>
          <w:kern w:val="28"/>
          <w:sz w:val="21"/>
          <w:szCs w:val="21"/>
        </w:rPr>
        <w:t>4.课</w:t>
      </w:r>
      <w:r>
        <w:rPr>
          <w:rFonts w:hint="eastAsia" w:ascii="宋体" w:hAnsi="宋体"/>
          <w:b/>
          <w:bCs/>
          <w:kern w:val="28"/>
          <w:sz w:val="21"/>
          <w:szCs w:val="21"/>
        </w:rPr>
        <w:t>程考核说明</w:t>
      </w:r>
      <w:bookmarkEnd w:id="55"/>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每门课程均提供课程考核说明，它是对考核对象、方式、内容、要求、试卷标准等具体说明，是学生学习、备考的指导性文件。课程考核说明根据教学大纲的基本要求，结合多种媒体教学资源以及开放教育课程考核的特点进行编制。统设课程和非统设课程的考核说明分别由国家开放大学和国家开放大学西安分部教学部门编制。</w:t>
      </w:r>
    </w:p>
    <w:p>
      <w:pPr>
        <w:keepNext/>
        <w:keepLines/>
        <w:spacing w:beforeLines="20" w:afterLines="20"/>
        <w:ind w:firstLine="422"/>
        <w:jc w:val="left"/>
        <w:outlineLvl w:val="0"/>
        <w:rPr>
          <w:rFonts w:ascii="宋体" w:hAnsi="宋体"/>
          <w:b/>
          <w:bCs/>
          <w:kern w:val="44"/>
          <w:sz w:val="21"/>
          <w:szCs w:val="21"/>
        </w:rPr>
      </w:pPr>
      <w:bookmarkStart w:id="56" w:name="_Toc454304974"/>
      <w:r>
        <w:rPr>
          <w:rFonts w:hint="eastAsia" w:ascii="宋体" w:hAnsi="宋体"/>
          <w:b/>
          <w:bCs/>
          <w:kern w:val="44"/>
          <w:sz w:val="21"/>
          <w:szCs w:val="21"/>
        </w:rPr>
        <w:t>（</w:t>
      </w:r>
      <w:r>
        <w:rPr>
          <w:rFonts w:ascii="宋体" w:hAnsi="宋体"/>
          <w:b/>
          <w:bCs/>
          <w:kern w:val="44"/>
          <w:sz w:val="21"/>
          <w:szCs w:val="21"/>
        </w:rPr>
        <w:t>三）</w:t>
      </w:r>
      <w:r>
        <w:rPr>
          <w:rFonts w:hint="eastAsia" w:ascii="宋体" w:hAnsi="宋体"/>
          <w:b/>
          <w:bCs/>
          <w:kern w:val="44"/>
          <w:sz w:val="21"/>
          <w:szCs w:val="21"/>
        </w:rPr>
        <w:t>教学资源准备</w:t>
      </w:r>
      <w:bookmarkEnd w:id="56"/>
    </w:p>
    <w:p>
      <w:pPr>
        <w:spacing w:before="240" w:after="60"/>
        <w:ind w:firstLine="422"/>
        <w:jc w:val="left"/>
        <w:outlineLvl w:val="1"/>
        <w:rPr>
          <w:rFonts w:ascii="宋体" w:hAnsi="宋体"/>
          <w:b/>
          <w:bCs/>
          <w:kern w:val="28"/>
          <w:sz w:val="21"/>
          <w:szCs w:val="21"/>
        </w:rPr>
      </w:pPr>
      <w:bookmarkStart w:id="57" w:name="_Toc454304975"/>
      <w:r>
        <w:rPr>
          <w:rFonts w:ascii="宋体" w:hAnsi="宋体"/>
          <w:b/>
          <w:bCs/>
          <w:kern w:val="28"/>
          <w:sz w:val="21"/>
          <w:szCs w:val="21"/>
        </w:rPr>
        <w:t>1.统设课程</w:t>
      </w:r>
      <w:bookmarkEnd w:id="57"/>
    </w:p>
    <w:p>
      <w:pPr>
        <w:ind w:firstLine="420"/>
        <w:rPr>
          <w:rFonts w:ascii="宋体" w:hAnsi="宋体"/>
          <w:sz w:val="21"/>
          <w:szCs w:val="21"/>
        </w:rPr>
      </w:pPr>
      <w:r>
        <w:rPr>
          <w:rFonts w:ascii="宋体" w:hAnsi="宋体"/>
          <w:sz w:val="21"/>
          <w:szCs w:val="21"/>
        </w:rPr>
        <w:t>统设课程教学资源的建设，根据国家开放大学教学资源建设规划，选聘安全技术行业和普通高校专家担任课程主讲、主编，建设统设必修课的多种媒体教学资源，主要包括文字教材、音像教材、网上资源和网络课程等资源。</w:t>
      </w:r>
    </w:p>
    <w:p>
      <w:pPr>
        <w:spacing w:before="240" w:after="60"/>
        <w:ind w:firstLine="422"/>
        <w:jc w:val="left"/>
        <w:outlineLvl w:val="1"/>
        <w:rPr>
          <w:rFonts w:ascii="宋体" w:hAnsi="宋体"/>
          <w:b/>
          <w:bCs/>
          <w:kern w:val="28"/>
          <w:sz w:val="21"/>
          <w:szCs w:val="21"/>
        </w:rPr>
      </w:pPr>
      <w:bookmarkStart w:id="58" w:name="_Toc454304976"/>
      <w:r>
        <w:rPr>
          <w:rFonts w:ascii="宋体" w:hAnsi="宋体"/>
          <w:b/>
          <w:bCs/>
          <w:kern w:val="28"/>
          <w:sz w:val="21"/>
          <w:szCs w:val="21"/>
        </w:rPr>
        <w:t>2.</w:t>
      </w:r>
      <w:r>
        <w:rPr>
          <w:rFonts w:hint="eastAsia" w:ascii="宋体" w:hAnsi="宋体"/>
          <w:b/>
          <w:bCs/>
          <w:kern w:val="28"/>
          <w:sz w:val="21"/>
          <w:szCs w:val="21"/>
        </w:rPr>
        <w:t>非统设课程</w:t>
      </w:r>
      <w:bookmarkEnd w:id="58"/>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非统设课程教学资源的建设（包括文字教材、网上教学资源以及其它教学课件），将根据国家开放大学西安分部的相关规定采取“共建、共享”的方式，依据远程开放教育特点，选聘有关专家，运用现代教育技术理论进行多种媒体教材一体化整体设计，组织教材建设，优化媒体组合，提升教学效果。</w:t>
      </w:r>
    </w:p>
    <w:p>
      <w:pPr>
        <w:keepNext/>
        <w:keepLines/>
        <w:spacing w:beforeLines="20" w:afterLines="20"/>
        <w:ind w:firstLine="422"/>
        <w:jc w:val="left"/>
        <w:outlineLvl w:val="0"/>
        <w:rPr>
          <w:rFonts w:ascii="宋体" w:hAnsi="宋体"/>
          <w:b/>
          <w:bCs/>
          <w:kern w:val="44"/>
          <w:sz w:val="21"/>
          <w:szCs w:val="21"/>
        </w:rPr>
      </w:pPr>
      <w:bookmarkStart w:id="59" w:name="_Toc454304977"/>
      <w:r>
        <w:rPr>
          <w:rFonts w:hint="eastAsia" w:ascii="宋体" w:hAnsi="宋体"/>
          <w:b/>
          <w:bCs/>
          <w:kern w:val="44"/>
          <w:sz w:val="21"/>
          <w:szCs w:val="21"/>
        </w:rPr>
        <w:t>（</w:t>
      </w:r>
      <w:r>
        <w:rPr>
          <w:rFonts w:ascii="宋体" w:hAnsi="宋体"/>
          <w:b/>
          <w:bCs/>
          <w:kern w:val="44"/>
          <w:sz w:val="21"/>
          <w:szCs w:val="21"/>
        </w:rPr>
        <w:t>四）</w:t>
      </w:r>
      <w:r>
        <w:rPr>
          <w:rFonts w:hint="eastAsia" w:ascii="宋体" w:hAnsi="宋体"/>
          <w:b/>
          <w:bCs/>
          <w:kern w:val="44"/>
          <w:sz w:val="21"/>
          <w:szCs w:val="21"/>
        </w:rPr>
        <w:t>师资培训</w:t>
      </w:r>
      <w:bookmarkEnd w:id="59"/>
    </w:p>
    <w:p>
      <w:pPr>
        <w:ind w:firstLine="420"/>
        <w:rPr>
          <w:rFonts w:ascii="宋体" w:hAnsi="宋体"/>
          <w:sz w:val="21"/>
          <w:szCs w:val="21"/>
        </w:rPr>
      </w:pPr>
      <w:r>
        <w:rPr>
          <w:rFonts w:hint="eastAsia" w:ascii="宋体" w:hAnsi="宋体"/>
          <w:sz w:val="21"/>
          <w:szCs w:val="21"/>
        </w:rPr>
        <w:t>师资培训的内容主要包括远程教育理论、现代教育技术、教学设计、专业建设、教学资源建设、教学支持服务、教学管理和教学研究等。师资培训采用分级的方式实施。</w:t>
      </w:r>
    </w:p>
    <w:p>
      <w:pPr>
        <w:numPr>
          <w:ilvl w:val="0"/>
          <w:numId w:val="5"/>
        </w:numPr>
        <w:spacing w:before="240" w:after="60"/>
        <w:ind w:firstLineChars="0"/>
        <w:jc w:val="left"/>
        <w:outlineLvl w:val="1"/>
        <w:rPr>
          <w:rFonts w:ascii="宋体" w:hAnsi="宋体"/>
          <w:b/>
          <w:bCs/>
          <w:kern w:val="28"/>
          <w:sz w:val="21"/>
          <w:szCs w:val="21"/>
        </w:rPr>
      </w:pPr>
      <w:bookmarkStart w:id="60" w:name="_Toc454304978"/>
      <w:r>
        <w:rPr>
          <w:rFonts w:ascii="宋体" w:hAnsi="宋体"/>
          <w:b/>
          <w:bCs/>
          <w:kern w:val="28"/>
          <w:sz w:val="21"/>
          <w:szCs w:val="21"/>
        </w:rPr>
        <w:t>师资培训</w:t>
      </w:r>
      <w:bookmarkEnd w:id="60"/>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负责组织学习中心的专业和统设课程责任教师的培训及其他培训。开课前，国家开放大学西安分部将组织开展新开课程的师资培训，学习中心《安全技术与管理》（专科）专业课程责任教师、辅导教师均应参加培训。国家开放大学西安分部也应加强对辅导教师开展有针对性的培训。师资培训的形式应视情况适当确定。既可以采取召开培训会、举办培训班的方式进行，也可以通过网络、双向视频系统或者下发培训资料等方式进行。</w:t>
      </w:r>
    </w:p>
    <w:p>
      <w:pPr>
        <w:spacing w:before="240" w:after="60"/>
        <w:ind w:firstLine="422"/>
        <w:jc w:val="left"/>
        <w:outlineLvl w:val="1"/>
        <w:rPr>
          <w:rFonts w:ascii="宋体" w:hAnsi="宋体"/>
          <w:b/>
          <w:bCs/>
          <w:kern w:val="28"/>
          <w:sz w:val="21"/>
          <w:szCs w:val="21"/>
        </w:rPr>
      </w:pPr>
      <w:bookmarkStart w:id="61" w:name="_Toc454304979"/>
      <w:r>
        <w:rPr>
          <w:rFonts w:ascii="宋体" w:hAnsi="宋体"/>
          <w:b/>
          <w:bCs/>
          <w:kern w:val="28"/>
          <w:sz w:val="21"/>
          <w:szCs w:val="21"/>
        </w:rPr>
        <w:t>2.教</w:t>
      </w:r>
      <w:r>
        <w:rPr>
          <w:rFonts w:hint="eastAsia" w:ascii="宋体" w:hAnsi="宋体"/>
          <w:b/>
          <w:bCs/>
          <w:kern w:val="28"/>
          <w:sz w:val="21"/>
          <w:szCs w:val="21"/>
        </w:rPr>
        <w:t>研活动</w:t>
      </w:r>
      <w:bookmarkEnd w:id="61"/>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国家开放大学西安分部组织的教研活动，原则上每个专业每学期不少于一次。各学习中心根据教学工作需要，适时组织专业或课程的教研活动。</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教研活动应有计划地进行，原则上安排于开学前在国家开放大学西安分部远程教学平台上发布。开展教研活动的前两周，教研活动组织者在国家开放大学西安分部教学平台上公布教研活动的内容及要求，以便参加活动的教师提前做好准备。</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教研活动可采取多种形式，提倡开展网上教研活动。</w:t>
      </w:r>
    </w:p>
    <w:p>
      <w:pPr>
        <w:spacing w:before="240" w:after="60"/>
        <w:ind w:firstLine="482"/>
        <w:jc w:val="left"/>
        <w:outlineLvl w:val="0"/>
        <w:rPr>
          <w:rFonts w:ascii="宋体" w:hAnsi="宋体"/>
          <w:b/>
          <w:bCs/>
        </w:rPr>
      </w:pPr>
      <w:bookmarkStart w:id="62" w:name="_Toc454304980"/>
      <w:r>
        <w:rPr>
          <w:rFonts w:hint="eastAsia" w:ascii="宋体" w:hAnsi="宋体"/>
          <w:b/>
          <w:bCs/>
        </w:rPr>
        <w:t>三</w:t>
      </w:r>
      <w:r>
        <w:rPr>
          <w:rFonts w:ascii="宋体" w:hAnsi="宋体"/>
          <w:b/>
          <w:bCs/>
        </w:rPr>
        <w:t>、</w:t>
      </w:r>
      <w:r>
        <w:rPr>
          <w:rFonts w:hint="eastAsia" w:ascii="宋体" w:hAnsi="宋体"/>
          <w:b/>
          <w:bCs/>
        </w:rPr>
        <w:t>教学环节与要求</w:t>
      </w:r>
      <w:bookmarkEnd w:id="62"/>
    </w:p>
    <w:p>
      <w:pPr>
        <w:ind w:firstLine="420"/>
        <w:rPr>
          <w:rFonts w:ascii="宋体" w:hAnsi="宋体"/>
          <w:sz w:val="21"/>
          <w:szCs w:val="21"/>
        </w:rPr>
      </w:pPr>
      <w:r>
        <w:rPr>
          <w:rFonts w:hint="eastAsia" w:ascii="宋体" w:hAnsi="宋体"/>
          <w:sz w:val="21"/>
          <w:szCs w:val="21"/>
        </w:rPr>
        <w:t>教学过程的落实是开放教育深化教学改革，探索国家开放大学新型框架下的教学模式，保证教学质量的重要环节。在教学中要做好以下工作：</w:t>
      </w:r>
    </w:p>
    <w:p>
      <w:pPr>
        <w:keepNext/>
        <w:keepLines/>
        <w:spacing w:beforeLines="20" w:afterLines="20"/>
        <w:ind w:firstLine="422"/>
        <w:jc w:val="left"/>
        <w:outlineLvl w:val="0"/>
        <w:rPr>
          <w:rFonts w:ascii="宋体" w:hAnsi="宋体"/>
          <w:b/>
          <w:bCs/>
          <w:kern w:val="44"/>
          <w:sz w:val="21"/>
          <w:szCs w:val="21"/>
        </w:rPr>
      </w:pPr>
      <w:bookmarkStart w:id="63" w:name="_Toc454304981"/>
      <w:r>
        <w:rPr>
          <w:rFonts w:hint="eastAsia" w:ascii="宋体" w:hAnsi="宋体"/>
          <w:b/>
          <w:bCs/>
          <w:kern w:val="44"/>
          <w:sz w:val="21"/>
          <w:szCs w:val="21"/>
        </w:rPr>
        <w:t>（</w:t>
      </w:r>
      <w:r>
        <w:rPr>
          <w:rFonts w:ascii="宋体" w:hAnsi="宋体"/>
          <w:b/>
          <w:bCs/>
          <w:kern w:val="44"/>
          <w:sz w:val="21"/>
          <w:szCs w:val="21"/>
        </w:rPr>
        <w:t>一</w:t>
      </w:r>
      <w:r>
        <w:rPr>
          <w:rFonts w:hint="eastAsia" w:ascii="宋体" w:hAnsi="宋体"/>
          <w:b/>
          <w:bCs/>
          <w:kern w:val="44"/>
          <w:sz w:val="21"/>
          <w:szCs w:val="21"/>
        </w:rPr>
        <w:t>）入学教育</w:t>
      </w:r>
      <w:bookmarkEnd w:id="63"/>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新生入学，应认真组织好入学教育，切实上好《国家开放大学学习指南》课程，使学习者对远程教育的教学特点和学习要求与方式、本专业的课程设置和课程的实施与组织、综合实践教学的要求、学习支持服务等有基本了解，同时应培养学习者应用计算机的能力，利用网络获得信息和学习支持服务的能力。</w:t>
      </w:r>
    </w:p>
    <w:p>
      <w:pPr>
        <w:keepNext/>
        <w:keepLines/>
        <w:spacing w:beforeLines="20" w:afterLines="20"/>
        <w:ind w:firstLine="422"/>
        <w:jc w:val="left"/>
        <w:outlineLvl w:val="0"/>
        <w:rPr>
          <w:rFonts w:ascii="宋体" w:hAnsi="宋体"/>
          <w:b/>
          <w:bCs/>
          <w:kern w:val="44"/>
          <w:sz w:val="21"/>
          <w:szCs w:val="21"/>
        </w:rPr>
      </w:pPr>
      <w:bookmarkStart w:id="64" w:name="_Toc454304982"/>
      <w:r>
        <w:rPr>
          <w:rFonts w:hint="eastAsia" w:ascii="宋体" w:hAnsi="宋体"/>
          <w:b/>
          <w:bCs/>
          <w:kern w:val="44"/>
          <w:sz w:val="21"/>
          <w:szCs w:val="21"/>
        </w:rPr>
        <w:t>（</w:t>
      </w:r>
      <w:r>
        <w:rPr>
          <w:rFonts w:ascii="宋体" w:hAnsi="宋体"/>
          <w:b/>
          <w:bCs/>
          <w:kern w:val="44"/>
          <w:sz w:val="21"/>
          <w:szCs w:val="21"/>
        </w:rPr>
        <w:t>二）</w:t>
      </w:r>
      <w:r>
        <w:rPr>
          <w:rFonts w:hint="eastAsia" w:ascii="宋体" w:hAnsi="宋体"/>
          <w:b/>
          <w:bCs/>
          <w:kern w:val="44"/>
          <w:sz w:val="21"/>
          <w:szCs w:val="21"/>
        </w:rPr>
        <w:t>制定学习计划</w:t>
      </w:r>
      <w:bookmarkEnd w:id="64"/>
    </w:p>
    <w:p>
      <w:pPr>
        <w:ind w:firstLine="420"/>
        <w:rPr>
          <w:rFonts w:ascii="宋体" w:hAnsi="宋体"/>
          <w:sz w:val="21"/>
          <w:szCs w:val="21"/>
        </w:rPr>
      </w:pPr>
      <w:r>
        <w:rPr>
          <w:rFonts w:hint="eastAsia" w:ascii="宋体" w:hAnsi="宋体"/>
          <w:sz w:val="21"/>
          <w:szCs w:val="21"/>
        </w:rPr>
        <w:t>本专业部分课程有一定先后接续性，指导学生按专业规则表中的课程建议开设学期选课。</w:t>
      </w:r>
    </w:p>
    <w:p>
      <w:pPr>
        <w:keepNext/>
        <w:keepLines/>
        <w:spacing w:beforeLines="20" w:afterLines="20"/>
        <w:ind w:firstLine="422"/>
        <w:jc w:val="left"/>
        <w:outlineLvl w:val="0"/>
        <w:rPr>
          <w:rFonts w:ascii="宋体" w:hAnsi="宋体"/>
          <w:b/>
          <w:bCs/>
          <w:kern w:val="44"/>
          <w:sz w:val="21"/>
          <w:szCs w:val="21"/>
        </w:rPr>
      </w:pPr>
      <w:bookmarkStart w:id="65" w:name="_Toc454304983"/>
      <w:r>
        <w:rPr>
          <w:rFonts w:hint="eastAsia" w:ascii="宋体" w:hAnsi="宋体"/>
          <w:b/>
          <w:bCs/>
          <w:kern w:val="44"/>
          <w:sz w:val="21"/>
          <w:szCs w:val="21"/>
        </w:rPr>
        <w:t>（三）远程教学</w:t>
      </w:r>
      <w:bookmarkEnd w:id="65"/>
    </w:p>
    <w:p>
      <w:pPr>
        <w:spacing w:before="240" w:after="60"/>
        <w:ind w:firstLine="422"/>
        <w:jc w:val="left"/>
        <w:outlineLvl w:val="1"/>
        <w:rPr>
          <w:rFonts w:ascii="宋体" w:hAnsi="宋体"/>
          <w:b/>
          <w:bCs/>
          <w:kern w:val="28"/>
          <w:sz w:val="21"/>
          <w:szCs w:val="21"/>
        </w:rPr>
      </w:pPr>
      <w:bookmarkStart w:id="66" w:name="_Toc454304984"/>
      <w:r>
        <w:rPr>
          <w:rFonts w:ascii="宋体" w:hAnsi="宋体"/>
          <w:b/>
          <w:bCs/>
          <w:kern w:val="28"/>
          <w:sz w:val="21"/>
          <w:szCs w:val="21"/>
        </w:rPr>
        <w:t>1.系统教学</w:t>
      </w:r>
      <w:bookmarkEnd w:id="66"/>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根据资源建设规划，进行统设必修课音像教学资源的建设工作，并通过多种教学途径将音像教学资源传输到各学习中心，各学习中心接收下载，或组织学生收看，或刻录成光盘提供学生使用，或转换成流媒体挂在网络上供学生点播。</w:t>
      </w:r>
    </w:p>
    <w:p>
      <w:pPr>
        <w:spacing w:before="240" w:after="60"/>
        <w:ind w:firstLine="422"/>
        <w:jc w:val="left"/>
        <w:outlineLvl w:val="1"/>
        <w:rPr>
          <w:rFonts w:ascii="宋体" w:hAnsi="宋体"/>
          <w:b/>
          <w:bCs/>
          <w:kern w:val="28"/>
          <w:sz w:val="21"/>
          <w:szCs w:val="21"/>
        </w:rPr>
      </w:pPr>
      <w:bookmarkStart w:id="67" w:name="_Toc454304985"/>
      <w:r>
        <w:rPr>
          <w:rFonts w:ascii="宋体" w:hAnsi="宋体"/>
          <w:b/>
          <w:bCs/>
          <w:kern w:val="28"/>
          <w:sz w:val="21"/>
          <w:szCs w:val="21"/>
        </w:rPr>
        <w:t>2.网</w:t>
      </w:r>
      <w:r>
        <w:rPr>
          <w:rFonts w:hint="eastAsia" w:ascii="宋体" w:hAnsi="宋体"/>
          <w:b/>
          <w:bCs/>
          <w:kern w:val="28"/>
          <w:sz w:val="21"/>
          <w:szCs w:val="21"/>
        </w:rPr>
        <w:t>络教学</w:t>
      </w:r>
      <w:bookmarkEnd w:id="67"/>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统设必修课的有关教学文件、课程设计方案、课程辅导文本等在新课开出前提供在网上相应的专业和课程中，新开课程、滚动课程每学期网上有相应的教学和教研活动，期末时有相应的辅导。国家开放大学西安分部应提前公布省开课程的网上教学安排，为广大师生提供一个在线交流、自主学习与个别化教育的环境，引导学生利用网络学习，积极参加网上教学活动。</w:t>
      </w:r>
    </w:p>
    <w:p>
      <w:pPr>
        <w:keepNext/>
        <w:keepLines/>
        <w:spacing w:beforeLines="20" w:afterLines="20"/>
        <w:ind w:firstLine="422"/>
        <w:jc w:val="left"/>
        <w:outlineLvl w:val="0"/>
        <w:rPr>
          <w:rFonts w:ascii="宋体" w:hAnsi="宋体"/>
          <w:b/>
          <w:bCs/>
          <w:kern w:val="44"/>
          <w:sz w:val="21"/>
          <w:szCs w:val="21"/>
        </w:rPr>
      </w:pPr>
      <w:bookmarkStart w:id="68" w:name="_Toc454304986"/>
      <w:r>
        <w:rPr>
          <w:rFonts w:hint="eastAsia" w:ascii="宋体" w:hAnsi="宋体"/>
          <w:b/>
          <w:bCs/>
          <w:kern w:val="44"/>
          <w:sz w:val="21"/>
          <w:szCs w:val="21"/>
        </w:rPr>
        <w:t>（</w:t>
      </w:r>
      <w:r>
        <w:rPr>
          <w:rFonts w:ascii="宋体" w:hAnsi="宋体"/>
          <w:b/>
          <w:bCs/>
          <w:kern w:val="44"/>
          <w:sz w:val="21"/>
          <w:szCs w:val="21"/>
        </w:rPr>
        <w:t>四）</w:t>
      </w:r>
      <w:r>
        <w:rPr>
          <w:rFonts w:hint="eastAsia" w:ascii="宋体" w:hAnsi="宋体"/>
          <w:b/>
          <w:bCs/>
          <w:kern w:val="44"/>
          <w:sz w:val="21"/>
          <w:szCs w:val="21"/>
        </w:rPr>
        <w:t>面授辅导</w:t>
      </w:r>
      <w:bookmarkEnd w:id="68"/>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专职或兼职辅导教师，应选择学生方便的时间安排到校集中讲解、答疑。集中面授辅导除针对课程的重点、难点进行适量讲解和答疑以外，更应利用校内实训设备为学生提供实际操作技能训练的机会和指导。提倡辅导教师采用案例、任务驱动、角色扮演等教学方式进行辅导以及实训，引导学生完成实训目标，培养学生分析和解决问题的能力。面授辅导不提倡系统讲授，应指导学生使用录像教材，共享优质教育资源。</w:t>
      </w:r>
    </w:p>
    <w:p>
      <w:pPr>
        <w:keepNext/>
        <w:keepLines/>
        <w:spacing w:beforeLines="20" w:afterLines="20"/>
        <w:ind w:firstLine="422"/>
        <w:jc w:val="left"/>
        <w:outlineLvl w:val="0"/>
        <w:rPr>
          <w:rFonts w:ascii="宋体" w:hAnsi="宋体"/>
          <w:b/>
          <w:bCs/>
          <w:kern w:val="44"/>
          <w:sz w:val="21"/>
          <w:szCs w:val="21"/>
        </w:rPr>
      </w:pPr>
      <w:bookmarkStart w:id="69" w:name="_Toc454304987"/>
      <w:r>
        <w:rPr>
          <w:rFonts w:hint="eastAsia" w:ascii="宋体" w:hAnsi="宋体"/>
          <w:b/>
          <w:bCs/>
          <w:kern w:val="44"/>
          <w:sz w:val="21"/>
          <w:szCs w:val="21"/>
        </w:rPr>
        <w:t>（</w:t>
      </w:r>
      <w:r>
        <w:rPr>
          <w:rFonts w:ascii="宋体" w:hAnsi="宋体"/>
          <w:b/>
          <w:bCs/>
          <w:kern w:val="44"/>
          <w:sz w:val="21"/>
          <w:szCs w:val="21"/>
        </w:rPr>
        <w:t>五）</w:t>
      </w:r>
      <w:r>
        <w:rPr>
          <w:rFonts w:hint="eastAsia" w:ascii="宋体" w:hAnsi="宋体"/>
          <w:b/>
          <w:bCs/>
          <w:kern w:val="44"/>
          <w:sz w:val="21"/>
          <w:szCs w:val="21"/>
        </w:rPr>
        <w:t>教研活动</w:t>
      </w:r>
      <w:bookmarkEnd w:id="69"/>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组织的教研活动应严格按照国家开放大学规定要求开展，学习中心根据教学工作需要，适时组织专业或课程的教研活动。教研活动应有计划地进行，原则上安排于开学前在“国家开放大学学习网”上发布。开展教研活动的前两周，教研活动组织者在“国家开放大学学习网”上公布教研活动的内容及要求，以便参加活动的教师提前做好准备。教研活动可采取多种形式，提倡开展网上教研活动。</w:t>
      </w:r>
    </w:p>
    <w:p>
      <w:pPr>
        <w:keepNext/>
        <w:keepLines/>
        <w:spacing w:beforeLines="20" w:afterLines="20"/>
        <w:ind w:firstLine="422"/>
        <w:jc w:val="left"/>
        <w:outlineLvl w:val="0"/>
        <w:rPr>
          <w:rFonts w:ascii="宋体" w:hAnsi="宋体"/>
          <w:b/>
          <w:bCs/>
          <w:kern w:val="44"/>
          <w:sz w:val="21"/>
          <w:szCs w:val="21"/>
        </w:rPr>
      </w:pPr>
      <w:bookmarkStart w:id="70" w:name="_Toc454304988"/>
      <w:r>
        <w:rPr>
          <w:rFonts w:hint="eastAsia" w:ascii="宋体" w:hAnsi="宋体"/>
          <w:b/>
          <w:bCs/>
          <w:kern w:val="44"/>
          <w:sz w:val="21"/>
          <w:szCs w:val="21"/>
        </w:rPr>
        <w:t>（</w:t>
      </w:r>
      <w:r>
        <w:rPr>
          <w:rFonts w:ascii="宋体" w:hAnsi="宋体"/>
          <w:b/>
          <w:bCs/>
          <w:kern w:val="44"/>
          <w:sz w:val="21"/>
          <w:szCs w:val="21"/>
        </w:rPr>
        <w:t>六）</w:t>
      </w:r>
      <w:r>
        <w:rPr>
          <w:rFonts w:hint="eastAsia" w:ascii="宋体" w:hAnsi="宋体"/>
          <w:b/>
          <w:bCs/>
          <w:kern w:val="44"/>
          <w:sz w:val="21"/>
          <w:szCs w:val="21"/>
        </w:rPr>
        <w:t>综合实训</w:t>
      </w:r>
      <w:bookmarkEnd w:id="70"/>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学生均应参加教学计划中规定的必修集中实践（实训）环节。</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国家开放大学西安分部统一制定的集中实践（实训）环节的实训要求、实训指导和实训评价，由各学习中心具体组织实施。集中实践（实训）环节可根据各地实际情况确定。</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集中实践（实训）环节的成绩合格者可取得相应学分。未取得必修集中实践（实训）环节的学分者不得毕业。</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综合实践环节主要由毕业实践、工业通风除尘课程设计、防火防爆课程设计、安全评价课程设计、职业危害因素分析与评价等课程组成。</w:t>
      </w:r>
    </w:p>
    <w:p>
      <w:pPr>
        <w:spacing w:before="240" w:after="60"/>
        <w:ind w:firstLine="422"/>
        <w:jc w:val="left"/>
        <w:outlineLvl w:val="1"/>
        <w:rPr>
          <w:rFonts w:ascii="宋体" w:hAnsi="宋体"/>
          <w:b/>
          <w:bCs/>
          <w:kern w:val="28"/>
          <w:sz w:val="21"/>
          <w:szCs w:val="21"/>
        </w:rPr>
      </w:pPr>
      <w:bookmarkStart w:id="71" w:name="_Toc454304989"/>
      <w:r>
        <w:rPr>
          <w:rFonts w:ascii="宋体" w:hAnsi="宋体"/>
          <w:b/>
          <w:bCs/>
          <w:kern w:val="28"/>
          <w:sz w:val="21"/>
          <w:szCs w:val="21"/>
        </w:rPr>
        <w:t>1.毕业实践</w:t>
      </w:r>
      <w:bookmarkEnd w:id="71"/>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毕业实践是理论联系实际的教学活动，是《安全技术与管理》专业最重要的实践性教学环节之一。学生在学完五个模块的课程前提下，熟悉现场技术员岗位职责，完成岗位职责的能力、方法、手段与程序的训练。通过毕业实践，使学生进一步巩固和加深理解所学的专业理论知识，开阔视野、扩大学生的知识面，并使学生具有综合运用所学的专业知识，独立完成职业岗位工作及解决工程实际问题的能力，为毕业后提升职业岗位能力创造条件。</w:t>
      </w:r>
    </w:p>
    <w:p>
      <w:pPr>
        <w:spacing w:before="240" w:after="60"/>
        <w:ind w:firstLine="422"/>
        <w:jc w:val="left"/>
        <w:outlineLvl w:val="1"/>
        <w:rPr>
          <w:rFonts w:ascii="宋体" w:hAnsi="宋体"/>
          <w:b/>
          <w:bCs/>
          <w:kern w:val="28"/>
          <w:sz w:val="21"/>
          <w:szCs w:val="21"/>
        </w:rPr>
      </w:pPr>
      <w:bookmarkStart w:id="72" w:name="_Toc454304990"/>
      <w:r>
        <w:rPr>
          <w:rFonts w:ascii="宋体" w:hAnsi="宋体"/>
          <w:b/>
          <w:bCs/>
          <w:kern w:val="28"/>
          <w:sz w:val="21"/>
          <w:szCs w:val="21"/>
        </w:rPr>
        <w:t>2.工</w:t>
      </w:r>
      <w:r>
        <w:rPr>
          <w:rFonts w:hint="eastAsia" w:ascii="宋体" w:hAnsi="宋体"/>
          <w:b/>
          <w:bCs/>
          <w:kern w:val="28"/>
          <w:sz w:val="21"/>
          <w:szCs w:val="21"/>
        </w:rPr>
        <w:t>业</w:t>
      </w:r>
      <w:r>
        <w:rPr>
          <w:rFonts w:ascii="宋体" w:hAnsi="宋体"/>
          <w:b/>
          <w:bCs/>
          <w:kern w:val="28"/>
          <w:sz w:val="21"/>
          <w:szCs w:val="21"/>
        </w:rPr>
        <w:t>通风除尘课程设计</w:t>
      </w:r>
      <w:bookmarkEnd w:id="72"/>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本课程的设计目的主要是为了掌握管道摩擦阻力、局部阻力计算、管道压力分布分析计算、管道尺寸计算的约束条件、设计计算方法、均匀送风管道的计算，要求学生认真、细致、熟练掌握通风除尘系统的设计计算方法。</w:t>
      </w:r>
    </w:p>
    <w:p>
      <w:pPr>
        <w:spacing w:before="240" w:after="60"/>
        <w:ind w:firstLine="422"/>
        <w:jc w:val="left"/>
        <w:outlineLvl w:val="1"/>
        <w:rPr>
          <w:rFonts w:ascii="宋体" w:hAnsi="宋体"/>
          <w:b/>
          <w:bCs/>
          <w:kern w:val="28"/>
          <w:sz w:val="21"/>
          <w:szCs w:val="21"/>
        </w:rPr>
      </w:pPr>
      <w:bookmarkStart w:id="73" w:name="_Toc454304991"/>
      <w:r>
        <w:rPr>
          <w:rFonts w:ascii="宋体" w:hAnsi="宋体"/>
          <w:b/>
          <w:bCs/>
          <w:kern w:val="28"/>
          <w:sz w:val="21"/>
          <w:szCs w:val="21"/>
        </w:rPr>
        <w:t>3.防火防爆课程设计</w:t>
      </w:r>
      <w:bookmarkEnd w:id="73"/>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本课程设计要求学生运用已学过的各种火灾探测器、控制器的知识，完成火灾消防监控系统中监测系统、灭火系统、消防电话系统、消防广播系统等各分系统的设计，以便进一步理解火灾探测与控制的基本原理，了解火灾监测监控系统设计的步骤和方法，培养学生初步设计小型火灾监测监控系统方案的能力。</w:t>
      </w:r>
    </w:p>
    <w:p>
      <w:pPr>
        <w:spacing w:before="240" w:after="60"/>
        <w:ind w:firstLine="422"/>
        <w:jc w:val="left"/>
        <w:outlineLvl w:val="1"/>
        <w:rPr>
          <w:rFonts w:ascii="宋体" w:hAnsi="宋体"/>
          <w:b/>
          <w:bCs/>
          <w:kern w:val="28"/>
          <w:sz w:val="21"/>
          <w:szCs w:val="21"/>
        </w:rPr>
      </w:pPr>
      <w:bookmarkStart w:id="74" w:name="_Toc454304992"/>
      <w:r>
        <w:rPr>
          <w:rFonts w:ascii="宋体" w:hAnsi="宋体"/>
          <w:b/>
          <w:bCs/>
          <w:kern w:val="28"/>
          <w:sz w:val="21"/>
          <w:szCs w:val="21"/>
        </w:rPr>
        <w:t>4.</w:t>
      </w:r>
      <w:r>
        <w:rPr>
          <w:rFonts w:hint="eastAsia" w:ascii="宋体" w:hAnsi="宋体"/>
          <w:b/>
          <w:bCs/>
          <w:kern w:val="28"/>
          <w:sz w:val="21"/>
          <w:szCs w:val="21"/>
        </w:rPr>
        <w:t>安全评价</w:t>
      </w:r>
      <w:r>
        <w:rPr>
          <w:rFonts w:ascii="宋体" w:hAnsi="宋体"/>
          <w:b/>
          <w:bCs/>
          <w:kern w:val="28"/>
          <w:sz w:val="21"/>
          <w:szCs w:val="21"/>
        </w:rPr>
        <w:t>课程设计</w:t>
      </w:r>
      <w:bookmarkEnd w:id="74"/>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使学生更好地熟悉和掌握专业课的基本理论和主要的安全评价方法，重点在于：熟悉安全生产的工作流程、安全生产规程和安全管理制度；熟悉在安全生产过程中存在的主要危险、有害因素；掌握常用的安全评价方法：事故树分析、鱼刺图分析、事件树分析方法等；运用安全管理原理因地制宜地提出安全对策及措施。</w:t>
      </w:r>
    </w:p>
    <w:p>
      <w:pPr>
        <w:spacing w:before="240" w:after="60"/>
        <w:ind w:firstLine="422"/>
        <w:jc w:val="left"/>
        <w:outlineLvl w:val="1"/>
        <w:rPr>
          <w:rFonts w:ascii="宋体" w:hAnsi="宋体"/>
          <w:b/>
          <w:bCs/>
          <w:kern w:val="28"/>
          <w:sz w:val="21"/>
          <w:szCs w:val="21"/>
        </w:rPr>
      </w:pPr>
      <w:bookmarkStart w:id="75" w:name="_Toc454304993"/>
      <w:r>
        <w:rPr>
          <w:rFonts w:ascii="宋体" w:hAnsi="宋体"/>
          <w:b/>
          <w:bCs/>
          <w:kern w:val="28"/>
          <w:sz w:val="21"/>
          <w:szCs w:val="21"/>
        </w:rPr>
        <w:t>5.</w:t>
      </w:r>
      <w:r>
        <w:rPr>
          <w:rFonts w:hint="eastAsia" w:ascii="宋体" w:hAnsi="宋体"/>
          <w:b/>
          <w:bCs/>
          <w:kern w:val="28"/>
          <w:sz w:val="21"/>
          <w:szCs w:val="21"/>
        </w:rPr>
        <w:t>职业危害</w:t>
      </w:r>
      <w:r>
        <w:rPr>
          <w:rFonts w:ascii="宋体" w:hAnsi="宋体"/>
          <w:b/>
          <w:bCs/>
          <w:kern w:val="28"/>
          <w:sz w:val="21"/>
          <w:szCs w:val="21"/>
        </w:rPr>
        <w:t>因素分析</w:t>
      </w:r>
      <w:r>
        <w:rPr>
          <w:rFonts w:hint="eastAsia" w:ascii="宋体" w:hAnsi="宋体"/>
          <w:b/>
          <w:bCs/>
          <w:kern w:val="28"/>
          <w:sz w:val="21"/>
          <w:szCs w:val="21"/>
        </w:rPr>
        <w:t>与评价</w:t>
      </w:r>
      <w:bookmarkEnd w:id="75"/>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通过环境监测、健康监护、实验室测试等手段，对危害因素的潜在作用进行定性和定量的鉴定和评价，推断它在多大剂量（浓度）和何种条件下可能构成损害；探讨其损害性质，并估测其在一般接触条件下可能造成损害的程度和概率。可采用以下方法：综合分析法，即对危害因素进行具体的综合分析；指标的定量性，即衡量时常使用定量指标，来划分危险度；结论的预测性，即根据结论可以预测危害因素所致的某些后果，以便及时采取措施。</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鉴于安全技术与管理专业实践性较强，建议学习中心积极加强与所在地区安全技术行业的交流与合作，为学生提供良好的实践机会，能够提高学生对专业的理解，积累学生岗位工作经验。</w:t>
      </w:r>
    </w:p>
    <w:p>
      <w:pPr>
        <w:keepNext/>
        <w:keepLines/>
        <w:spacing w:beforeLines="20" w:afterLines="20"/>
        <w:ind w:firstLine="422"/>
        <w:jc w:val="left"/>
        <w:outlineLvl w:val="0"/>
        <w:rPr>
          <w:rFonts w:ascii="宋体" w:hAnsi="宋体"/>
          <w:b/>
          <w:bCs/>
          <w:kern w:val="44"/>
          <w:sz w:val="21"/>
          <w:szCs w:val="21"/>
        </w:rPr>
      </w:pPr>
      <w:bookmarkStart w:id="76" w:name="_Toc454304994"/>
      <w:r>
        <w:rPr>
          <w:rFonts w:hint="eastAsia" w:ascii="宋体" w:hAnsi="宋体"/>
          <w:b/>
          <w:bCs/>
          <w:kern w:val="44"/>
          <w:sz w:val="21"/>
          <w:szCs w:val="21"/>
        </w:rPr>
        <w:t>（</w:t>
      </w:r>
      <w:r>
        <w:rPr>
          <w:rFonts w:ascii="宋体" w:hAnsi="宋体"/>
          <w:b/>
          <w:bCs/>
          <w:kern w:val="44"/>
          <w:sz w:val="21"/>
          <w:szCs w:val="21"/>
        </w:rPr>
        <w:t>七）</w:t>
      </w:r>
      <w:r>
        <w:rPr>
          <w:rFonts w:hint="eastAsia" w:ascii="宋体" w:hAnsi="宋体"/>
          <w:b/>
          <w:bCs/>
          <w:kern w:val="44"/>
          <w:sz w:val="21"/>
          <w:szCs w:val="21"/>
        </w:rPr>
        <w:t>作业与考核</w:t>
      </w:r>
      <w:bookmarkEnd w:id="76"/>
    </w:p>
    <w:p>
      <w:pPr>
        <w:spacing w:before="240" w:after="60"/>
        <w:ind w:firstLine="422"/>
        <w:jc w:val="left"/>
        <w:outlineLvl w:val="1"/>
        <w:rPr>
          <w:rFonts w:ascii="宋体" w:hAnsi="宋体"/>
          <w:b/>
          <w:bCs/>
          <w:kern w:val="28"/>
          <w:sz w:val="21"/>
          <w:szCs w:val="21"/>
        </w:rPr>
      </w:pPr>
      <w:bookmarkStart w:id="77" w:name="_Toc454304995"/>
      <w:r>
        <w:rPr>
          <w:rFonts w:ascii="宋体" w:hAnsi="宋体"/>
          <w:b/>
          <w:bCs/>
          <w:kern w:val="28"/>
          <w:sz w:val="21"/>
          <w:szCs w:val="21"/>
        </w:rPr>
        <w:t>1.平时作业</w:t>
      </w:r>
      <w:bookmarkEnd w:id="77"/>
    </w:p>
    <w:p>
      <w:pPr>
        <w:ind w:firstLine="420"/>
        <w:rPr>
          <w:rFonts w:ascii="宋体" w:hAnsi="宋体"/>
          <w:sz w:val="21"/>
          <w:szCs w:val="21"/>
        </w:rPr>
      </w:pPr>
      <w:r>
        <w:rPr>
          <w:rFonts w:ascii="宋体" w:hAnsi="宋体"/>
          <w:sz w:val="21"/>
          <w:szCs w:val="21"/>
        </w:rPr>
        <w:t>统设必修课的课程作业由国家开放大学统一安排，各门课程根据课程教学目标安排相应的平时作业。国家开放大学西安分部可视当地学员的学习情况补充少量作业，其他课程的作业由各分部责任教师安排，可以通过网络或辅导教师等渠道加以布置。由分部落实本地区的平时作业，并组织作业评阅和批改。</w:t>
      </w:r>
    </w:p>
    <w:p>
      <w:pPr>
        <w:spacing w:before="240" w:after="60"/>
        <w:ind w:firstLine="422"/>
        <w:jc w:val="left"/>
        <w:outlineLvl w:val="1"/>
        <w:rPr>
          <w:rFonts w:ascii="宋体" w:hAnsi="宋体"/>
          <w:b/>
          <w:bCs/>
          <w:kern w:val="28"/>
          <w:sz w:val="21"/>
          <w:szCs w:val="21"/>
        </w:rPr>
      </w:pPr>
      <w:bookmarkStart w:id="78" w:name="_Toc454304996"/>
      <w:r>
        <w:rPr>
          <w:rFonts w:ascii="宋体" w:hAnsi="宋体"/>
          <w:b/>
          <w:bCs/>
          <w:kern w:val="28"/>
          <w:sz w:val="21"/>
          <w:szCs w:val="21"/>
        </w:rPr>
        <w:t>2.课</w:t>
      </w:r>
      <w:r>
        <w:rPr>
          <w:rFonts w:hint="eastAsia" w:ascii="宋体" w:hAnsi="宋体"/>
          <w:b/>
          <w:bCs/>
          <w:kern w:val="28"/>
          <w:sz w:val="21"/>
          <w:szCs w:val="21"/>
        </w:rPr>
        <w:t>程考核</w:t>
      </w:r>
      <w:bookmarkEnd w:id="78"/>
    </w:p>
    <w:p>
      <w:pPr>
        <w:ind w:firstLine="420"/>
        <w:rPr>
          <w:rFonts w:ascii="宋体" w:hAnsi="宋体"/>
          <w:sz w:val="21"/>
          <w:szCs w:val="21"/>
        </w:rPr>
      </w:pPr>
      <w:r>
        <w:rPr>
          <w:rFonts w:hint="eastAsia" w:ascii="宋体" w:hAnsi="宋体"/>
          <w:sz w:val="21"/>
          <w:szCs w:val="21"/>
        </w:rPr>
        <w:t>课程考核包括形成性考核和终结性考试。课程考核的内容必须符合教学大纲，以基本知识、基本程序和基本技能标准考核为主，同时注意考核学生综合运用所学理论、知识和技能分析解决问题的能力。</w:t>
      </w:r>
    </w:p>
    <w:p>
      <w:pPr>
        <w:ind w:firstLine="420"/>
        <w:rPr>
          <w:rFonts w:ascii="宋体" w:hAnsi="宋体"/>
          <w:sz w:val="21"/>
          <w:szCs w:val="21"/>
        </w:rPr>
      </w:pPr>
      <w:r>
        <w:rPr>
          <w:rFonts w:hint="eastAsia" w:ascii="宋体" w:hAnsi="宋体"/>
          <w:sz w:val="21"/>
          <w:szCs w:val="21"/>
        </w:rPr>
        <w:t>形成性考核：</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教学部门负责设计统设课程形成性考核方案，国家开放大学西安分部教学部门负责设计非统设课程形成性考核方案。国家开放大学分部和国家开放大学分部的学习中心分别根据国家开放大学和国家开放大学分部的形成性考核方案制定实施细则，增强形成性考核的可操作性。</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学习中心负责形成性考核的组织实施，国家开放大学西安分部的学习中心负责形成性考核成绩初审，国家开放大学西安分部负责形成性考核成绩复审，并对形成性考核的组织实施和质量进行监控和检查。国家开放大学负责形成性考核的指导和抽查。</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形成性考核的指导教师或辅导教师由学习中心按照有关规定聘请，一般应具有本专业初级及以上职称，有一定的教学经验，熟悉远程开放教育要求和相关规定，掌握课程形成性考核的要求。其成绩由指导教师或辅导教师按形成性考核方案或实施细则的有关标准评定。</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终结性考试：</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和国家开放大学西安分部分别负责统设课程和非统设课程终结性考试的试题、答案及评分标准的命制。采取命题组命题的方式。严格按照课程教学大纲、教材和考核说明，结合现代远程开放教育的教学特点和学习者特点，设计考试内容以及试卷的题量、题型、覆盖面和难易程度等。</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国家开放大学负责组织统设必修课程的全国统一考试，国家开放大学西安分部负责组织统设选修课程及非统设课程在本地区的统一考试。</w:t>
      </w:r>
    </w:p>
    <w:p>
      <w:pPr>
        <w:spacing w:before="240" w:after="60"/>
        <w:ind w:firstLine="482"/>
        <w:jc w:val="left"/>
        <w:outlineLvl w:val="0"/>
        <w:rPr>
          <w:rFonts w:ascii="宋体" w:hAnsi="宋体"/>
          <w:b/>
          <w:bCs/>
        </w:rPr>
      </w:pPr>
      <w:bookmarkStart w:id="79" w:name="_Toc454304997"/>
      <w:r>
        <w:rPr>
          <w:rFonts w:hint="eastAsia" w:ascii="宋体" w:hAnsi="宋体"/>
          <w:b/>
          <w:bCs/>
        </w:rPr>
        <w:t>四</w:t>
      </w:r>
      <w:r>
        <w:rPr>
          <w:rFonts w:ascii="宋体" w:hAnsi="宋体"/>
          <w:b/>
          <w:bCs/>
        </w:rPr>
        <w:t>、</w:t>
      </w:r>
      <w:r>
        <w:rPr>
          <w:rFonts w:hint="eastAsia" w:ascii="宋体" w:hAnsi="宋体"/>
          <w:b/>
          <w:bCs/>
        </w:rPr>
        <w:t>教学评价与检查</w:t>
      </w:r>
      <w:bookmarkEnd w:id="79"/>
    </w:p>
    <w:p>
      <w:pPr>
        <w:keepNext/>
        <w:keepLines/>
        <w:spacing w:beforeLines="20" w:afterLines="20"/>
        <w:ind w:firstLine="422"/>
        <w:jc w:val="left"/>
        <w:outlineLvl w:val="0"/>
        <w:rPr>
          <w:rFonts w:ascii="宋体" w:hAnsi="宋体"/>
          <w:b/>
          <w:bCs/>
          <w:kern w:val="44"/>
          <w:sz w:val="21"/>
          <w:szCs w:val="21"/>
        </w:rPr>
      </w:pPr>
      <w:bookmarkStart w:id="80" w:name="_Toc454304998"/>
      <w:r>
        <w:rPr>
          <w:rFonts w:hint="eastAsia" w:ascii="宋体" w:hAnsi="宋体"/>
          <w:b/>
          <w:bCs/>
          <w:kern w:val="44"/>
          <w:sz w:val="21"/>
          <w:szCs w:val="21"/>
        </w:rPr>
        <w:t>（</w:t>
      </w:r>
      <w:r>
        <w:rPr>
          <w:rFonts w:ascii="宋体" w:hAnsi="宋体"/>
          <w:b/>
          <w:bCs/>
          <w:kern w:val="44"/>
          <w:sz w:val="21"/>
          <w:szCs w:val="21"/>
        </w:rPr>
        <w:t>一）</w:t>
      </w:r>
      <w:r>
        <w:rPr>
          <w:rFonts w:hint="eastAsia" w:ascii="宋体" w:hAnsi="宋体"/>
          <w:b/>
          <w:bCs/>
          <w:kern w:val="44"/>
          <w:sz w:val="21"/>
          <w:szCs w:val="21"/>
        </w:rPr>
        <w:t>教学评价</w:t>
      </w:r>
      <w:bookmarkEnd w:id="80"/>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对远程开放教育进行教学评估与监控是保证教学方案实施、保证教学质量的有利手段，关系到整个试点的成功与否。评估工作要不断在实践中发现问题，解决问题，促进整体教学质量的提高。</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国家开放大学以及各分部将组成检查小组对试点单位的教学过程进行定期检查和抽查，主要包括以下内容：</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教学硬件、软件基本情况；教学资源利用情况；课程集中辅导及答疑情况；形成性考核作业、课程实验及集中实践（实训）环节实施情况；考试及试卷情况；试点分部的教学支持服务情况以及对责任教师的评判。</w:t>
      </w:r>
    </w:p>
    <w:p>
      <w:pPr>
        <w:keepNext/>
        <w:keepLines/>
        <w:spacing w:beforeLines="20" w:afterLines="20"/>
        <w:ind w:firstLine="422"/>
        <w:jc w:val="left"/>
        <w:outlineLvl w:val="0"/>
        <w:rPr>
          <w:rFonts w:ascii="宋体" w:hAnsi="宋体"/>
          <w:b/>
          <w:bCs/>
          <w:kern w:val="44"/>
          <w:sz w:val="21"/>
          <w:szCs w:val="21"/>
        </w:rPr>
      </w:pPr>
      <w:bookmarkStart w:id="81" w:name="_Toc454304999"/>
      <w:r>
        <w:rPr>
          <w:rFonts w:hint="eastAsia" w:ascii="宋体" w:hAnsi="宋体"/>
          <w:b/>
          <w:bCs/>
          <w:kern w:val="44"/>
          <w:sz w:val="21"/>
          <w:szCs w:val="21"/>
        </w:rPr>
        <w:t>（</w:t>
      </w:r>
      <w:r>
        <w:rPr>
          <w:rFonts w:ascii="宋体" w:hAnsi="宋体"/>
          <w:b/>
          <w:bCs/>
          <w:kern w:val="44"/>
          <w:sz w:val="21"/>
          <w:szCs w:val="21"/>
        </w:rPr>
        <w:t>二）教学检查</w:t>
      </w:r>
      <w:bookmarkEnd w:id="81"/>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教学检查包括教师、教学管理人员和技术人员的配置、培训和职责履行情况；计算机网络及远程教学设施和实训设施的建设和使用情况；多种媒体教学资源的开发、配置和使用情况；教学模式改革和教学管理模式改革的研究及实施情况；课程实践环节的设计及实施情况，综合实践环节的设计、组织实施和考核验收等情况；教学支持服务的内容、方式及开展情况；教学全过程和主要教学环节的管理制度建设及执行情况；考点设置、考试组织实施及考风考纪情况等。</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教学检查要坚持综合检查与专项检查相结合，书面材料检查与实地考察、网上检查相结合的原则。国家开放大学各分部制定教学检查制度，负责教学检查的组织实施。国家开放大学和国家开放大学分部安排的教学检查由国家开放大学和国家开放大学分部分别组织实施。</w:t>
      </w:r>
    </w:p>
    <w:p>
      <w:pPr>
        <w:keepNext/>
        <w:keepLines/>
        <w:spacing w:beforeLines="20" w:afterLines="20"/>
        <w:ind w:firstLine="422"/>
        <w:jc w:val="left"/>
        <w:outlineLvl w:val="0"/>
        <w:rPr>
          <w:rFonts w:ascii="宋体" w:hAnsi="宋体"/>
          <w:b/>
          <w:bCs/>
          <w:kern w:val="44"/>
          <w:sz w:val="21"/>
          <w:szCs w:val="21"/>
        </w:rPr>
      </w:pPr>
      <w:bookmarkStart w:id="82" w:name="_Toc454305000"/>
      <w:r>
        <w:rPr>
          <w:rFonts w:hint="eastAsia" w:ascii="宋体" w:hAnsi="宋体"/>
          <w:b/>
          <w:bCs/>
          <w:kern w:val="44"/>
          <w:sz w:val="21"/>
          <w:szCs w:val="21"/>
        </w:rPr>
        <w:t>（</w:t>
      </w:r>
      <w:r>
        <w:rPr>
          <w:rFonts w:ascii="宋体" w:hAnsi="宋体"/>
          <w:b/>
          <w:bCs/>
          <w:kern w:val="44"/>
          <w:sz w:val="21"/>
          <w:szCs w:val="21"/>
        </w:rPr>
        <w:t>三）教学反馈</w:t>
      </w:r>
      <w:bookmarkEnd w:id="82"/>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教学反馈是师生之间、学生之间多向信息交流的过程，是优化教学过程，实现教与学和谐统一的必不可少的环节，它贯穿于教学的全过程。</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教师作为课堂教学活动的组织者、引导者、参与者，通过教学反馈可以了解学生知识掌握、方法获得的情况，也可以检验自己的教学方法和教学效果，从而根据反馈信息随时调整教学进程，促进学生的发展。</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国家开放大学西安分部及其学习中心的教师应该可以通过E-mail、微信、电话、QQ等手段及时回复学生的问题，与学生交互，了解学生学习、工作、生活等情况。</w:t>
      </w:r>
    </w:p>
    <w:p>
      <w:pPr>
        <w:keepNext/>
        <w:keepLines/>
        <w:spacing w:beforeLines="20" w:afterLines="20"/>
        <w:ind w:firstLine="422"/>
        <w:jc w:val="left"/>
        <w:outlineLvl w:val="0"/>
        <w:rPr>
          <w:rFonts w:ascii="宋体" w:hAnsi="宋体"/>
          <w:b/>
          <w:bCs/>
          <w:kern w:val="44"/>
          <w:sz w:val="21"/>
          <w:szCs w:val="21"/>
        </w:rPr>
      </w:pPr>
      <w:bookmarkStart w:id="83" w:name="_Toc454305001"/>
      <w:r>
        <w:rPr>
          <w:rFonts w:hint="eastAsia" w:ascii="宋体" w:hAnsi="宋体"/>
          <w:b/>
          <w:bCs/>
          <w:kern w:val="44"/>
          <w:sz w:val="21"/>
          <w:szCs w:val="21"/>
        </w:rPr>
        <w:t>（</w:t>
      </w:r>
      <w:r>
        <w:rPr>
          <w:rFonts w:ascii="宋体" w:hAnsi="宋体"/>
          <w:b/>
          <w:bCs/>
          <w:kern w:val="44"/>
          <w:sz w:val="21"/>
          <w:szCs w:val="21"/>
        </w:rPr>
        <w:t>四）巡教巡考</w:t>
      </w:r>
      <w:bookmarkEnd w:id="83"/>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国家开放大学负责组织对国开系统的教学过程进行指导和检查，检查教学过程落实情况、考试情况、毕业实践环节的组织安排、平时作业的完成和批改情况。</w:t>
      </w:r>
    </w:p>
    <w:p>
      <w:pPr>
        <w:spacing w:before="240" w:after="60"/>
        <w:ind w:firstLine="482"/>
        <w:jc w:val="left"/>
        <w:outlineLvl w:val="0"/>
        <w:rPr>
          <w:rFonts w:ascii="宋体" w:hAnsi="宋体"/>
          <w:b/>
          <w:bCs/>
        </w:rPr>
      </w:pPr>
      <w:bookmarkStart w:id="84" w:name="_Toc454305002"/>
      <w:r>
        <w:rPr>
          <w:rFonts w:hint="eastAsia" w:ascii="宋体" w:hAnsi="宋体"/>
          <w:b/>
          <w:bCs/>
        </w:rPr>
        <w:t>五</w:t>
      </w:r>
      <w:r>
        <w:rPr>
          <w:rFonts w:ascii="宋体" w:hAnsi="宋体"/>
          <w:b/>
          <w:bCs/>
        </w:rPr>
        <w:t>、</w:t>
      </w:r>
      <w:r>
        <w:rPr>
          <w:rFonts w:hint="eastAsia" w:ascii="宋体" w:hAnsi="宋体"/>
          <w:b/>
          <w:bCs/>
        </w:rPr>
        <w:t>关于毕业证书</w:t>
      </w:r>
      <w:bookmarkEnd w:id="84"/>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1.达到毕业要求的学生，颁发国家承认的专科毕业证书，并报教育部进行电子注册。毕业要求依据《国家开放大学学籍管理办法》的相关规定。</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2.毕业证书申请及发放程序</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（1）学生申请毕业并填写《国家开放大学毕业申请表》。</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（2）国家开放大学分部于每年6月15日前将当年1月以前（含1月）、11月30日前将当年7月以前（含7月）达到毕业要求的学生数据上报国家开放大学。</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（3）国家开放大学于每年6月15日前向1月以前（含1月）达到毕业要求的学生、11月30日前向7月以前（含7月）达到毕业要求的学生颁发毕业证书。</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（4）国家开放大学每年7月将当年1月、每年12月将当年7月颁发的毕业证书，报教育部进行电子注册。</w:t>
      </w: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643"/>
        <w:jc w:val="center"/>
        <w:rPr>
          <w:rFonts w:ascii="宋体" w:hAnsi="宋体"/>
          <w:b/>
          <w:bCs/>
          <w:color w:val="000000"/>
          <w:sz w:val="32"/>
          <w:szCs w:val="32"/>
        </w:rPr>
      </w:pPr>
      <w:r>
        <w:rPr>
          <w:rFonts w:hint="eastAsia" w:ascii="宋体" w:hAnsi="宋体"/>
          <w:b/>
          <w:bCs/>
          <w:color w:val="000000"/>
          <w:sz w:val="32"/>
          <w:szCs w:val="32"/>
        </w:rPr>
        <w:t>资源环境</w:t>
      </w:r>
      <w:r>
        <w:rPr>
          <w:rFonts w:ascii="宋体" w:hAnsi="宋体"/>
          <w:b/>
          <w:bCs/>
          <w:color w:val="000000"/>
          <w:sz w:val="32"/>
          <w:szCs w:val="32"/>
        </w:rPr>
        <w:t>与安全</w:t>
      </w:r>
      <w:r>
        <w:rPr>
          <w:rFonts w:hint="eastAsia" w:ascii="宋体" w:hAnsi="宋体"/>
          <w:b/>
          <w:bCs/>
          <w:color w:val="000000"/>
          <w:sz w:val="32"/>
          <w:szCs w:val="32"/>
        </w:rPr>
        <w:t>大类</w:t>
      </w:r>
    </w:p>
    <w:p>
      <w:pPr>
        <w:ind w:firstLine="0" w:firstLineChars="0"/>
        <w:jc w:val="center"/>
        <w:rPr>
          <w:rFonts w:ascii="宋体" w:hAnsi="宋体"/>
          <w:b/>
          <w:bCs/>
          <w:color w:val="000000"/>
          <w:sz w:val="32"/>
          <w:szCs w:val="32"/>
        </w:rPr>
      </w:pPr>
      <w:r>
        <w:rPr>
          <w:rFonts w:hint="eastAsia" w:ascii="宋体" w:hAnsi="宋体"/>
          <w:b/>
          <w:bCs/>
          <w:color w:val="000000"/>
          <w:sz w:val="32"/>
          <w:szCs w:val="32"/>
        </w:rPr>
        <w:t>安全类《安全技术</w:t>
      </w:r>
      <w:r>
        <w:rPr>
          <w:rFonts w:ascii="宋体" w:hAnsi="宋体"/>
          <w:b/>
          <w:bCs/>
          <w:color w:val="000000"/>
          <w:sz w:val="32"/>
          <w:szCs w:val="32"/>
        </w:rPr>
        <w:t>与管理</w:t>
      </w:r>
      <w:r>
        <w:rPr>
          <w:rFonts w:hint="eastAsia" w:ascii="宋体" w:hAnsi="宋体"/>
          <w:b/>
          <w:bCs/>
          <w:color w:val="000000"/>
          <w:sz w:val="32"/>
          <w:szCs w:val="32"/>
        </w:rPr>
        <w:t>》（专科）专业建设方案</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以适应西安区域经济社会发展对应用型人才的需求，根据长期办学优势特色，进行《安全技术与管理》（专科）专业建设工作，专业建设过程中，加强了校企合作和校校合作，充分听取了行业、企业专家对专业建设的意见，特制定了本专业建设方案。</w:t>
      </w:r>
    </w:p>
    <w:p>
      <w:pPr>
        <w:keepNext/>
        <w:keepLines/>
        <w:spacing w:beforeLines="100" w:afterLines="100"/>
        <w:ind w:firstLine="482"/>
        <w:jc w:val="left"/>
        <w:outlineLvl w:val="0"/>
        <w:rPr>
          <w:b/>
          <w:bCs/>
          <w:kern w:val="44"/>
          <w:szCs w:val="44"/>
        </w:rPr>
      </w:pPr>
      <w:bookmarkStart w:id="85" w:name="_Toc454306019"/>
      <w:r>
        <w:rPr>
          <w:rFonts w:hint="eastAsia"/>
          <w:b/>
          <w:bCs/>
          <w:kern w:val="44"/>
          <w:szCs w:val="44"/>
        </w:rPr>
        <w:t>一</w:t>
      </w:r>
      <w:r>
        <w:rPr>
          <w:b/>
          <w:bCs/>
          <w:kern w:val="44"/>
          <w:szCs w:val="44"/>
        </w:rPr>
        <w:t>、</w:t>
      </w:r>
      <w:r>
        <w:rPr>
          <w:rFonts w:hint="eastAsia"/>
          <w:b/>
          <w:bCs/>
          <w:kern w:val="44"/>
          <w:szCs w:val="44"/>
        </w:rPr>
        <w:t>专业</w:t>
      </w:r>
      <w:r>
        <w:rPr>
          <w:b/>
          <w:bCs/>
          <w:kern w:val="44"/>
          <w:szCs w:val="44"/>
        </w:rPr>
        <w:t>建设概要</w:t>
      </w:r>
      <w:bookmarkEnd w:id="85"/>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以《安全技术与管理》（专科）专业建设为核心，主动适应西安市加快经济发展方式转变、产业结构调整和优化升级，坚持以服务为宗旨、以提高质量为核心，创新体制、机制，采取校企合作、校校合作，开发建设适应西安市安全技术行业的一系列专业建设标准文件，构建专业建设体系和评价机制，组建一支有专业学科带头人引领的年龄结构合理、专兼结合、实践教学能力突出的师资队伍，进行课程教学资源的开发、专业教学模式的探索与实践，实现知识、能力、素质教育的培养目标，使学生有较强的职业能力和持续发展的能力，培养面向生产、建设、管理一线，能掌握安全科学、安全工程及技术的基础理论知识，具有安全检测、安全评价、安全管理等安全核心能力的专业技术人才，并具有时代创新精神和可持续发展的能力、高素质的技术应用型人才。</w:t>
      </w:r>
    </w:p>
    <w:p>
      <w:pPr>
        <w:keepNext/>
        <w:keepLines/>
        <w:spacing w:beforeLines="100" w:afterLines="100"/>
        <w:ind w:firstLine="482"/>
        <w:jc w:val="left"/>
        <w:outlineLvl w:val="0"/>
        <w:rPr>
          <w:b/>
          <w:bCs/>
          <w:kern w:val="44"/>
          <w:szCs w:val="44"/>
        </w:rPr>
      </w:pPr>
      <w:bookmarkStart w:id="86" w:name="_Toc454306020"/>
      <w:r>
        <w:rPr>
          <w:rFonts w:hint="eastAsia"/>
          <w:b/>
          <w:bCs/>
          <w:kern w:val="44"/>
          <w:szCs w:val="44"/>
        </w:rPr>
        <w:t>二、专业建设的基础和</w:t>
      </w:r>
      <w:r>
        <w:rPr>
          <w:b/>
          <w:bCs/>
          <w:kern w:val="44"/>
          <w:szCs w:val="44"/>
        </w:rPr>
        <w:t>优势</w:t>
      </w:r>
      <w:bookmarkEnd w:id="86"/>
    </w:p>
    <w:p>
      <w:pPr>
        <w:keepNext/>
        <w:keepLines/>
        <w:spacing w:beforeLines="100" w:afterLines="100"/>
        <w:ind w:firstLine="422"/>
        <w:jc w:val="left"/>
        <w:outlineLvl w:val="0"/>
        <w:rPr>
          <w:rFonts w:ascii="宋体" w:hAnsi="宋体"/>
          <w:b/>
          <w:bCs/>
          <w:kern w:val="44"/>
          <w:sz w:val="21"/>
          <w:szCs w:val="21"/>
        </w:rPr>
      </w:pPr>
      <w:bookmarkStart w:id="87" w:name="_Toc454306021"/>
      <w:r>
        <w:rPr>
          <w:rFonts w:hint="eastAsia" w:ascii="宋体" w:hAnsi="宋体"/>
          <w:b/>
          <w:bCs/>
          <w:kern w:val="44"/>
          <w:sz w:val="21"/>
          <w:szCs w:val="21"/>
        </w:rPr>
        <w:t>（一）学校办学成熟，专业发展突出</w:t>
      </w:r>
      <w:bookmarkEnd w:id="87"/>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国家开放大学西安分部是一所以现代信息技术为主要手段，采用广播电视、文字和音像教材、计算机网络等多种现代化媒体，进行远程学历教育和非学历继续教育的综合性开放大学。</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由陕西省人民政府批准，西安市人民政府主办，西安市教育局主管，业务上接受国家开放大学指导。主要承担开放教育（本、专科）、成人大中专教育、奥鹏远程教育、社区教育、干部网络教育、残疾人教育、职业教育、继续教育等多规格、多层次的学历教育和非学历继续教育。开设理工、文法、财经、外语、医学、艺术等六类86个专业（其中开放教育本科专业21个、专科专业43个；成人大中专教育专科专业22个），现各类学历教育在校生达6.1万人，非学历继续教育年培训达5万余人次。</w:t>
      </w:r>
    </w:p>
    <w:p>
      <w:pPr>
        <w:keepNext/>
        <w:keepLines/>
        <w:spacing w:beforeLines="100" w:afterLines="100"/>
        <w:ind w:firstLine="422"/>
        <w:jc w:val="left"/>
        <w:outlineLvl w:val="0"/>
        <w:rPr>
          <w:rFonts w:ascii="宋体" w:hAnsi="宋体"/>
          <w:b/>
          <w:bCs/>
          <w:kern w:val="44"/>
          <w:sz w:val="21"/>
          <w:szCs w:val="21"/>
        </w:rPr>
      </w:pPr>
      <w:bookmarkStart w:id="88" w:name="_Toc454306022"/>
      <w:r>
        <w:rPr>
          <w:rFonts w:hint="eastAsia" w:ascii="宋体" w:hAnsi="宋体"/>
          <w:b/>
          <w:bCs/>
          <w:kern w:val="44"/>
          <w:sz w:val="21"/>
          <w:szCs w:val="21"/>
        </w:rPr>
        <w:t>（二）教学基础设备完善</w:t>
      </w:r>
      <w:bookmarkEnd w:id="88"/>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高度重视信息化硬件设施的建设，投入了大量的建设资金，为学校教学及教学管理提供了有力支撑。现有虚拟演播室两间、电子屏演播室1间、录播教室1间、云教室1间、多媒体教室45间；采用中国电信100M宽带接入，校园网千兆主干，百兆桌面；搭建了“一库多网”中心机房，配备有核心交换机、应用服务器、存储器等设备；建立有负载均衡机制、虚拟化应用系统和P2P流媒体系统。</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国家开放大学西安分部教育技术与资源中心主要业务是平台研发及学习资源设计与制作。中心共24人，平均年龄28岁，所学专业有：计算机科学与技术、远程教育、教育技术、影视传媒、影视编导、动画制作等，是一个年轻化、专业化的学习型团队。在本中心“平等、开放、和谐、创新”的团队文化氛围中，在全体中心成员团结协作、刻苦钻研下，中心取得了显著的成绩。</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在平台研发方面，自行研发了学生缴费平台、选修课自主学习平台、兼职教师管理系统、毕业论文远程指导系统、在线预约考试系统等学历教育平台；搭建了西安干部教育在线、西安社区大学、西安市专业技术人员继续教育网、西安学前教育培训网等非学历教育平台；开发了西安电大继续教育资源库，并整合了所有在线学习资源，实现了“一库多网”的资源共享管理模式。</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在学习资源设计与制作方面，自建网络课程32门，其中《美术基础》、《音乐鉴赏》、《心理学》、《电子商务基础》、《特许经营概论》、《幼儿园班级管理》等10门网络课程分别荣获全国多媒体课件大赛一等奖。《电子商务基础》、《创新教学》、《特许经营概论》、《长安汉唐文化（地域文化）》、《金融市场》、《网站设计与规划》共6门课程分别荣获 “国家开放大学精品课程”称号。中心通过教学设计、媒体设计、拍摄剪辑和后期包装等规范化模式，自建精品微课200余门，分别荣获全国多媒体课件大赛、全国微课程大赛奖项30余个。本中心拥有两间虚拟演播室、一间传统演播室、两间录播教室，录制视频课程能力达年均300余节。</w:t>
      </w:r>
    </w:p>
    <w:p>
      <w:pPr>
        <w:keepNext/>
        <w:keepLines/>
        <w:spacing w:beforeLines="100" w:afterLines="100"/>
        <w:ind w:firstLine="422"/>
        <w:jc w:val="left"/>
        <w:outlineLvl w:val="0"/>
        <w:rPr>
          <w:rFonts w:ascii="宋体" w:hAnsi="宋体"/>
          <w:b/>
          <w:bCs/>
          <w:kern w:val="44"/>
          <w:sz w:val="21"/>
          <w:szCs w:val="21"/>
        </w:rPr>
      </w:pPr>
      <w:bookmarkStart w:id="89" w:name="_Toc454306023"/>
      <w:r>
        <w:rPr>
          <w:rFonts w:hint="eastAsia" w:ascii="宋体" w:hAnsi="宋体"/>
          <w:b/>
          <w:bCs/>
          <w:kern w:val="44"/>
          <w:sz w:val="21"/>
          <w:szCs w:val="21"/>
        </w:rPr>
        <w:t>（三）专业发展突出，初具特色</w:t>
      </w:r>
      <w:bookmarkEnd w:id="89"/>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充分发挥现代远程教育技术，培养应用型实践人才。《安全技术与管理》（专科）专业坚持“以成人教育内在规律为指导，培养社会公共安全领域应用型实践人才”的办学指导思想，结合学校现代远程教育技术优势，在课程开设、教学组织形式、教学资源建设与开发方面，以专业能力培养为主线，通过灵活设置的行业能力模块课程，积极主动迎合并引导市场需求。同时把工、学结合作为人才培养模式的重要切入点，引导课程设置、教学内容和教学方法的变化，突出职业教育的特色，全面提高成人学生的职业道德、职业能力及综合素质。</w:t>
      </w:r>
    </w:p>
    <w:p>
      <w:pPr>
        <w:keepNext/>
        <w:keepLines/>
        <w:spacing w:beforeLines="100" w:afterLines="100"/>
        <w:ind w:firstLine="422"/>
        <w:jc w:val="left"/>
        <w:outlineLvl w:val="0"/>
        <w:rPr>
          <w:rFonts w:ascii="宋体" w:hAnsi="宋体"/>
          <w:b/>
          <w:bCs/>
          <w:kern w:val="44"/>
          <w:sz w:val="21"/>
          <w:szCs w:val="21"/>
        </w:rPr>
      </w:pPr>
      <w:bookmarkStart w:id="90" w:name="_Toc454306024"/>
      <w:r>
        <w:rPr>
          <w:rFonts w:hint="eastAsia" w:ascii="宋体" w:hAnsi="宋体"/>
          <w:b/>
          <w:bCs/>
          <w:kern w:val="44"/>
          <w:sz w:val="21"/>
          <w:szCs w:val="21"/>
        </w:rPr>
        <w:t>（四）专业发展空间</w:t>
      </w:r>
      <w:bookmarkEnd w:id="90"/>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当前，我国经济发展处于“三期叠加”阶段，进入以“速度变化、结构优化、动力转化”为主要特点的新常态，传统行业的发展进入“换档期”，各类企业在顺应大势、积极转型、加快发展的同时，如果存在隐患，甚至发生事故，势必会阻碍企业乃至一个行业的进步。随着经济社会的快速发展，广大人民群众对安全生产愿望强烈，对维护自身权益日益重视，面对新常态，大家一致认为“安全无小事，生产必须安全”，在这样一个社会发展宏观环境下，为《安全技术与管理》（专科）专业建设提供了广阔空间。</w:t>
      </w:r>
    </w:p>
    <w:p>
      <w:pPr>
        <w:keepNext/>
        <w:keepLines/>
        <w:spacing w:beforeLines="100" w:afterLines="100"/>
        <w:ind w:firstLine="422"/>
        <w:jc w:val="left"/>
        <w:outlineLvl w:val="0"/>
        <w:rPr>
          <w:rFonts w:ascii="宋体" w:hAnsi="宋体"/>
          <w:b/>
          <w:bCs/>
          <w:kern w:val="44"/>
          <w:sz w:val="21"/>
          <w:szCs w:val="21"/>
        </w:rPr>
      </w:pPr>
      <w:bookmarkStart w:id="91" w:name="_Toc454306025"/>
      <w:r>
        <w:rPr>
          <w:rFonts w:hint="eastAsia" w:ascii="宋体" w:hAnsi="宋体"/>
          <w:b/>
          <w:bCs/>
          <w:kern w:val="44"/>
          <w:sz w:val="21"/>
          <w:szCs w:val="21"/>
        </w:rPr>
        <w:t>（</w:t>
      </w:r>
      <w:r>
        <w:rPr>
          <w:rFonts w:ascii="宋体" w:hAnsi="宋体"/>
          <w:b/>
          <w:bCs/>
          <w:kern w:val="44"/>
          <w:sz w:val="21"/>
          <w:szCs w:val="21"/>
        </w:rPr>
        <w:t>五）</w:t>
      </w:r>
      <w:r>
        <w:rPr>
          <w:rFonts w:hint="eastAsia" w:ascii="宋体" w:hAnsi="宋体"/>
          <w:b/>
          <w:bCs/>
          <w:kern w:val="44"/>
          <w:sz w:val="21"/>
          <w:szCs w:val="21"/>
        </w:rPr>
        <w:t>专兼职师资</w:t>
      </w:r>
      <w:r>
        <w:rPr>
          <w:rFonts w:ascii="宋体" w:hAnsi="宋体"/>
          <w:b/>
          <w:bCs/>
          <w:kern w:val="44"/>
          <w:sz w:val="21"/>
          <w:szCs w:val="21"/>
        </w:rPr>
        <w:t>团队</w:t>
      </w:r>
      <w:bookmarkEnd w:id="91"/>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承担《安全技术与管理》（专科）专业教学管理工作的是国家开放大学西安分部理工教学部。现已全面整合了我校数学、计算机、土建、机械等专业资源，师资力量较为雄厚，教学科研基础扎实，具备开设《安全技术与管理》（专科）专业的基本条件，能够胜任《安全技术与管理》（专科）专业的教学管理工作。理工教学部现有专、兼职教师百余人，专职教师中高级职称教师占教师总数的46.67%，硕士以上学历教师占教师总数的100%。近年来，理工教学部坚持教学、科研一体化的方针，提出了“以产业定课题，以课题带科研”的思路，科研水平逐年提升。特别是安全技术管理专业近年来发展较为突出，围绕专业课程建设，组建了专、兼职互补的教学团队。</w:t>
      </w:r>
    </w:p>
    <w:p>
      <w:pPr>
        <w:keepNext/>
        <w:keepLines/>
        <w:spacing w:beforeLines="100" w:afterLines="100"/>
        <w:ind w:firstLine="482"/>
        <w:jc w:val="left"/>
        <w:outlineLvl w:val="0"/>
        <w:rPr>
          <w:b/>
          <w:bCs/>
          <w:kern w:val="44"/>
          <w:szCs w:val="44"/>
        </w:rPr>
      </w:pPr>
      <w:bookmarkStart w:id="92" w:name="_Toc454306026"/>
      <w:r>
        <w:rPr>
          <w:rFonts w:hint="eastAsia"/>
          <w:b/>
          <w:bCs/>
          <w:kern w:val="44"/>
          <w:szCs w:val="44"/>
        </w:rPr>
        <w:t>三</w:t>
      </w:r>
      <w:r>
        <w:rPr>
          <w:b/>
          <w:bCs/>
          <w:kern w:val="44"/>
          <w:szCs w:val="44"/>
        </w:rPr>
        <w:t>、</w:t>
      </w:r>
      <w:r>
        <w:rPr>
          <w:rFonts w:hint="eastAsia"/>
          <w:b/>
          <w:bCs/>
          <w:kern w:val="44"/>
          <w:szCs w:val="44"/>
        </w:rPr>
        <w:t>专业建设思路</w:t>
      </w:r>
      <w:bookmarkEnd w:id="92"/>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以《安全技术与管理专业》（专科）专业建设为契机，探索专业建设和人才培养方案的设计，加强课程教学资源开发、数字化教材建设、配套教学文件建设、教学资源库建设、精品网络课程的建设与共享、师资队伍建设和实践实训基地等专业核心教学环节的建设。</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1.立足于服务西安市区域发展，为西安市提供安全专业的技能人才。</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2.注重专业教学目标适合成人教育的培养模式，专业课程内容与职业发展相衔接。</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3.强化专业教学师资团队建设，构建开放大学的教师共享共建模式。</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4.整合共享西安区域的教学资源，突出多元化合作、实现真正意义上的开放式办学。</w:t>
      </w:r>
    </w:p>
    <w:p>
      <w:pPr>
        <w:keepNext/>
        <w:keepLines/>
        <w:spacing w:beforeLines="100" w:afterLines="100"/>
        <w:ind w:firstLine="482"/>
        <w:jc w:val="left"/>
        <w:outlineLvl w:val="0"/>
        <w:rPr>
          <w:b/>
          <w:bCs/>
          <w:kern w:val="44"/>
          <w:szCs w:val="44"/>
        </w:rPr>
      </w:pPr>
      <w:bookmarkStart w:id="93" w:name="_Toc454306027"/>
      <w:r>
        <w:rPr>
          <w:rFonts w:hint="eastAsia"/>
          <w:b/>
          <w:bCs/>
          <w:kern w:val="44"/>
          <w:szCs w:val="44"/>
        </w:rPr>
        <w:t>四、专业建设目标</w:t>
      </w:r>
      <w:bookmarkEnd w:id="93"/>
    </w:p>
    <w:p>
      <w:pPr>
        <w:keepNext/>
        <w:keepLines/>
        <w:spacing w:beforeLines="100" w:afterLines="100"/>
        <w:ind w:firstLine="422"/>
        <w:jc w:val="left"/>
        <w:outlineLvl w:val="0"/>
        <w:rPr>
          <w:rFonts w:ascii="宋体" w:hAnsi="宋体"/>
          <w:b/>
          <w:bCs/>
          <w:kern w:val="44"/>
          <w:sz w:val="21"/>
          <w:szCs w:val="21"/>
        </w:rPr>
      </w:pPr>
      <w:bookmarkStart w:id="94" w:name="_Toc454306028"/>
      <w:r>
        <w:rPr>
          <w:rFonts w:hint="eastAsia" w:ascii="宋体" w:hAnsi="宋体"/>
          <w:b/>
          <w:bCs/>
          <w:kern w:val="44"/>
          <w:sz w:val="21"/>
          <w:szCs w:val="21"/>
        </w:rPr>
        <w:t>（一）总体目标</w:t>
      </w:r>
      <w:bookmarkEnd w:id="94"/>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以国家开放大学西安分部专业建设为平台，依托我校成人高等学历教育丰富资源，在丰富的应用型人才培养经验基础上，以培养安全技术管理类应用型人才为目标。主动适应发展新常态，突出专业重点，结合学校“错位竞争、特色发展”战略，充分拓展应用型实践人才培养模式，强化成人继续教育安全技术管理类应用型人才的培养。</w:t>
      </w:r>
    </w:p>
    <w:p>
      <w:pPr>
        <w:keepNext/>
        <w:keepLines/>
        <w:spacing w:beforeLines="100" w:afterLines="100"/>
        <w:ind w:firstLine="422"/>
        <w:jc w:val="left"/>
        <w:outlineLvl w:val="0"/>
        <w:rPr>
          <w:rFonts w:ascii="宋体" w:hAnsi="宋体"/>
          <w:b/>
          <w:bCs/>
          <w:kern w:val="44"/>
          <w:sz w:val="21"/>
          <w:szCs w:val="21"/>
        </w:rPr>
      </w:pPr>
      <w:bookmarkStart w:id="95" w:name="_Toc454306029"/>
      <w:r>
        <w:rPr>
          <w:rFonts w:hint="eastAsia" w:ascii="宋体" w:hAnsi="宋体"/>
          <w:b/>
          <w:bCs/>
          <w:kern w:val="44"/>
          <w:sz w:val="21"/>
          <w:szCs w:val="21"/>
        </w:rPr>
        <w:t>（二）具体目标</w:t>
      </w:r>
      <w:bookmarkEnd w:id="95"/>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开展《安全技术与管理》（专科）专业建设，在专业模式建设、专业师资队伍建设、专业课程体系建设、教学实验设备与安全技术管理类专业图书资料建设等方面，全面提高专业质量；进一步加强实践实训教学管理建设，全面提高实践实训教学质量，加大与实践基地相关单位和部门的合作力度，改善实践教学条件和途径，扩大应用型人才培养优势。</w:t>
      </w:r>
    </w:p>
    <w:p>
      <w:pPr>
        <w:keepNext/>
        <w:keepLines/>
        <w:spacing w:beforeLines="100" w:afterLines="100"/>
        <w:ind w:firstLine="482"/>
        <w:jc w:val="left"/>
        <w:outlineLvl w:val="0"/>
        <w:rPr>
          <w:b/>
          <w:bCs/>
          <w:kern w:val="44"/>
          <w:szCs w:val="44"/>
        </w:rPr>
      </w:pPr>
      <w:bookmarkStart w:id="96" w:name="_Toc454306030"/>
      <w:r>
        <w:rPr>
          <w:rFonts w:hint="eastAsia"/>
          <w:b/>
          <w:bCs/>
          <w:kern w:val="44"/>
          <w:szCs w:val="44"/>
        </w:rPr>
        <w:t>五、专业建设内容</w:t>
      </w:r>
      <w:bookmarkEnd w:id="96"/>
    </w:p>
    <w:p>
      <w:pPr>
        <w:keepNext/>
        <w:keepLines/>
        <w:spacing w:beforeLines="100" w:afterLines="100"/>
        <w:ind w:firstLine="422"/>
        <w:jc w:val="left"/>
        <w:outlineLvl w:val="0"/>
        <w:rPr>
          <w:rFonts w:ascii="宋体" w:hAnsi="宋体"/>
          <w:b/>
          <w:bCs/>
          <w:kern w:val="44"/>
          <w:sz w:val="21"/>
          <w:szCs w:val="21"/>
        </w:rPr>
      </w:pPr>
      <w:bookmarkStart w:id="97" w:name="_Toc454306031"/>
      <w:r>
        <w:rPr>
          <w:rFonts w:hint="eastAsia" w:ascii="宋体" w:hAnsi="宋体"/>
          <w:b/>
          <w:bCs/>
          <w:kern w:val="44"/>
          <w:sz w:val="21"/>
          <w:szCs w:val="21"/>
        </w:rPr>
        <w:t>（一）创新人才培养模式建设</w:t>
      </w:r>
      <w:bookmarkEnd w:id="97"/>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深化教育改革，创新人才培养模式。研究成人教育的内在规律，在教学组织模式、过程环节设计、教育信息技术、教学管理等方面进行深入研究与实践，在现有人才培养模式基础上，拓展创新更具有社会需求特点的培养模式，充分发挥继续教育办学效益。</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充分利用我校现代教育信息技术优势，突破传统教育模式在时空维度上对教育教学活动的限制，尝试构建成人教育活动时间、空间分布式组织与集中式组织相结合的新模式，克服成人学习工、学矛盾、学习风格特色迥异的特点，创建更多个性化学习模式，增强教学有效性，提高教学质量。探索信息技术与教育教学深度融合的人才培养模式，搭建有利于学生自主选择、自主利用业余时间安排学习的选修课学习平台。通过选修课学习平台，集成教育教学活动“教育者、教育内容、学习者”三大核心要素，克服成人教育活动中学习时间相对不足的特点，降低课堂教学时间成本，使学习者在有限的时间内能够更好地获得学习效果。</w:t>
      </w:r>
    </w:p>
    <w:p>
      <w:pPr>
        <w:keepNext/>
        <w:keepLines/>
        <w:spacing w:beforeLines="100" w:afterLines="100"/>
        <w:ind w:firstLine="422"/>
        <w:jc w:val="left"/>
        <w:outlineLvl w:val="0"/>
        <w:rPr>
          <w:rFonts w:ascii="宋体" w:hAnsi="宋体"/>
          <w:b/>
          <w:bCs/>
          <w:kern w:val="44"/>
          <w:sz w:val="21"/>
          <w:szCs w:val="21"/>
        </w:rPr>
      </w:pPr>
      <w:bookmarkStart w:id="98" w:name="_Toc454306032"/>
      <w:r>
        <w:rPr>
          <w:rFonts w:hint="eastAsia" w:ascii="宋体" w:hAnsi="宋体"/>
          <w:b/>
          <w:bCs/>
          <w:kern w:val="44"/>
          <w:sz w:val="21"/>
          <w:szCs w:val="21"/>
        </w:rPr>
        <w:t>（二）专业培养方案建设</w:t>
      </w:r>
      <w:bookmarkEnd w:id="98"/>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强化专业的社会供需特点，细分人才培养方案，依托课程建设，深化人才培养方案改革，探索立体式人才培养方案。加强《安全技术与管理》（专科）专业课程基本建设，增强专业竞争力。在充分利用现有资源的基础上，同校内其他专业、兄弟院校及科研机构实现优势互补，拓展专业方向。深化毕业实践环节教学改革，按照应用型培养目标，改革传统论文撰写为主要形式的毕业方式，遵循理论联系实际的原理，调整毕业课程与教学方案。具体课程体系如下：</w:t>
      </w:r>
    </w:p>
    <w:p>
      <w:pPr>
        <w:ind w:firstLine="422"/>
        <w:rPr>
          <w:rFonts w:ascii="宋体" w:hAnsi="宋体"/>
          <w:b/>
          <w:color w:val="000000"/>
          <w:sz w:val="21"/>
          <w:szCs w:val="21"/>
        </w:rPr>
      </w:pPr>
      <w:r>
        <w:rPr>
          <w:rFonts w:ascii="宋体" w:hAnsi="宋体"/>
          <w:b/>
          <w:color w:val="000000"/>
          <w:sz w:val="21"/>
          <w:szCs w:val="21"/>
        </w:rPr>
        <w:t>1.公共基础课</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作为专科教育的公共基础课程，本专业设计了《中国特色社会主义理论体系概论》、《国家开放大学学习指南》、《英语I（1）》、《高等数学基础》、《计算机文化基础》等课程。</w:t>
      </w:r>
    </w:p>
    <w:p>
      <w:pPr>
        <w:ind w:firstLine="422"/>
        <w:rPr>
          <w:rFonts w:ascii="宋体" w:hAnsi="宋体"/>
          <w:b/>
          <w:color w:val="000000"/>
          <w:sz w:val="21"/>
          <w:szCs w:val="21"/>
        </w:rPr>
      </w:pPr>
      <w:r>
        <w:rPr>
          <w:rFonts w:ascii="宋体" w:hAnsi="宋体"/>
          <w:b/>
          <w:color w:val="000000"/>
          <w:sz w:val="21"/>
          <w:szCs w:val="21"/>
        </w:rPr>
        <w:t>2.专业基础课</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作为本专业的专业基础类课程，本专业设计了《工程制图基础》、《安全系统工程》、《安全管理》、《安全原理》、《安全人机工程》、《工业通风及除尘》、《流体力学与热工学基础》、《安全管理文书写作》、《信息管理系统》等课程。</w:t>
      </w:r>
    </w:p>
    <w:p>
      <w:pPr>
        <w:ind w:firstLine="422"/>
        <w:rPr>
          <w:rFonts w:ascii="宋体" w:hAnsi="宋体"/>
          <w:b/>
          <w:color w:val="000000"/>
          <w:sz w:val="21"/>
          <w:szCs w:val="21"/>
        </w:rPr>
      </w:pPr>
      <w:r>
        <w:rPr>
          <w:rFonts w:ascii="宋体" w:hAnsi="宋体"/>
          <w:b/>
          <w:color w:val="000000"/>
          <w:sz w:val="21"/>
          <w:szCs w:val="21"/>
        </w:rPr>
        <w:t>3.专业课</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为了适应人才培养的要求，考虑到西安市安监局和西安市消防总局的工作需要，在公共基础课程与专业基础课程的基础上，本专业充分考虑了安全技术管理人才所共需的相关专业技能要求，设计了《特种设备安全》、《事故管理与应急处置》、《防火防爆技术》、《电气安全技术》、《职业卫生基础》、《安全评价》、《安全监测与监控》、《安全法规》、《高危行业安全》、《工程项目管理》等课程。</w:t>
      </w:r>
    </w:p>
    <w:p>
      <w:pPr>
        <w:ind w:firstLine="422"/>
        <w:rPr>
          <w:rFonts w:ascii="宋体" w:hAnsi="宋体"/>
          <w:b/>
          <w:color w:val="000000"/>
          <w:sz w:val="21"/>
          <w:szCs w:val="21"/>
        </w:rPr>
      </w:pPr>
      <w:bookmarkStart w:id="99" w:name="_Toc264671090"/>
      <w:bookmarkStart w:id="100" w:name="_Toc264671689"/>
      <w:r>
        <w:rPr>
          <w:rFonts w:ascii="宋体" w:hAnsi="宋体"/>
          <w:b/>
          <w:color w:val="000000"/>
          <w:sz w:val="21"/>
          <w:szCs w:val="21"/>
        </w:rPr>
        <w:t>4.</w:t>
      </w:r>
      <w:r>
        <w:rPr>
          <w:rFonts w:hint="eastAsia" w:ascii="宋体" w:hAnsi="宋体"/>
          <w:b/>
          <w:color w:val="000000"/>
          <w:sz w:val="21"/>
          <w:szCs w:val="21"/>
        </w:rPr>
        <w:t>通识课</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通识课程通过知识的基础性、整体性、综合性、广博性，使学生拓宽视野，培养独立思考与判断能力。该模块的主要专业课程有：《地域文化》、《社交礼仪》、《实用法律基础》、《实用写作》、《安全评价》、《汉唐文化》等课程。</w:t>
      </w:r>
    </w:p>
    <w:p>
      <w:pPr>
        <w:ind w:firstLine="422"/>
        <w:rPr>
          <w:rFonts w:ascii="宋体" w:hAnsi="宋体"/>
          <w:b/>
          <w:color w:val="000000"/>
          <w:sz w:val="21"/>
          <w:szCs w:val="21"/>
        </w:rPr>
      </w:pPr>
      <w:r>
        <w:rPr>
          <w:rFonts w:ascii="宋体" w:hAnsi="宋体"/>
          <w:b/>
          <w:color w:val="000000"/>
          <w:sz w:val="21"/>
          <w:szCs w:val="21"/>
        </w:rPr>
        <w:t>5.</w:t>
      </w:r>
      <w:r>
        <w:rPr>
          <w:rFonts w:hint="eastAsia" w:ascii="宋体" w:hAnsi="宋体"/>
          <w:b/>
          <w:color w:val="000000"/>
          <w:sz w:val="21"/>
          <w:szCs w:val="21"/>
        </w:rPr>
        <w:t>综合实践</w:t>
      </w:r>
    </w:p>
    <w:bookmarkEnd w:id="99"/>
    <w:bookmarkEnd w:id="100"/>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本专业开设的实践教学，分为课程实践教学与专业综合实践教学两类。以安全技术管理活动为主要内容，学生应根据课题的要求，综合运用所学的专业知识，完成综合实践环节的学习任务。应用型人才的培养目标旨在课程教学中提高学生的综合素质与能力，使学生能够在毕业综合实践环节中充分运用。在此指导思想下，创新综合实践环节的课程设计形式、教学组织方式、师生教学交互机制、课程教学管理机制等模式。</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综合实践环节开设的内容有：《毕业实践》、《工业通风除尘课程设计》、《防火防爆课程设计》、《安全评价课程设计》、《职业危害因素分析评价》。</w:t>
      </w:r>
    </w:p>
    <w:p>
      <w:pPr>
        <w:ind w:firstLine="422"/>
        <w:rPr>
          <w:rFonts w:ascii="宋体" w:hAnsi="宋体"/>
          <w:b/>
          <w:color w:val="000000"/>
          <w:sz w:val="21"/>
          <w:szCs w:val="21"/>
        </w:rPr>
      </w:pPr>
      <w:r>
        <w:rPr>
          <w:rFonts w:ascii="宋体" w:hAnsi="宋体"/>
          <w:b/>
          <w:color w:val="000000"/>
          <w:sz w:val="21"/>
          <w:szCs w:val="21"/>
        </w:rPr>
        <w:t>6.</w:t>
      </w:r>
      <w:r>
        <w:rPr>
          <w:rFonts w:hint="eastAsia" w:ascii="宋体" w:hAnsi="宋体"/>
          <w:b/>
          <w:color w:val="000000"/>
          <w:sz w:val="21"/>
          <w:szCs w:val="21"/>
        </w:rPr>
        <w:t>特色</w:t>
      </w:r>
      <w:r>
        <w:rPr>
          <w:rFonts w:ascii="宋体" w:hAnsi="宋体"/>
          <w:b/>
          <w:color w:val="000000"/>
          <w:sz w:val="21"/>
          <w:szCs w:val="21"/>
        </w:rPr>
        <w:t>课</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为了更好地提高《安全技术与管理》（专科）专业学生的学习效果，不断更新教育理念，让本专业的学生能接受高素质教育，促进学生在专业技能方面的全方位发展，激发学生产生主动学习的兴趣，以及增强多种能力的发展，提高学生的职业技能，特制定了《消防安全》、《建筑施工安全》、《安全工程师培训》课程。</w:t>
      </w:r>
    </w:p>
    <w:p>
      <w:pPr>
        <w:keepNext/>
        <w:keepLines/>
        <w:spacing w:beforeLines="100" w:afterLines="100"/>
        <w:ind w:firstLine="422"/>
        <w:jc w:val="left"/>
        <w:outlineLvl w:val="0"/>
        <w:rPr>
          <w:rFonts w:ascii="宋体" w:hAnsi="宋体"/>
          <w:b/>
          <w:bCs/>
          <w:kern w:val="44"/>
          <w:sz w:val="21"/>
          <w:szCs w:val="21"/>
        </w:rPr>
      </w:pPr>
      <w:bookmarkStart w:id="101" w:name="_Toc454306033"/>
      <w:r>
        <w:rPr>
          <w:rFonts w:hint="eastAsia" w:ascii="宋体" w:hAnsi="宋体"/>
          <w:b/>
          <w:bCs/>
          <w:kern w:val="44"/>
          <w:sz w:val="21"/>
          <w:szCs w:val="21"/>
        </w:rPr>
        <w:t>（三）专业教学</w:t>
      </w:r>
      <w:r>
        <w:rPr>
          <w:rFonts w:ascii="宋体" w:hAnsi="宋体"/>
          <w:b/>
          <w:bCs/>
          <w:kern w:val="44"/>
          <w:sz w:val="21"/>
          <w:szCs w:val="21"/>
        </w:rPr>
        <w:t>团队</w:t>
      </w:r>
      <w:r>
        <w:rPr>
          <w:rFonts w:hint="eastAsia" w:ascii="宋体" w:hAnsi="宋体"/>
          <w:b/>
          <w:bCs/>
          <w:kern w:val="44"/>
          <w:sz w:val="21"/>
          <w:szCs w:val="21"/>
        </w:rPr>
        <w:t>建设</w:t>
      </w:r>
      <w:bookmarkEnd w:id="101"/>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重视师资队伍的作用，完善教学团队协同工作模式。加大师资队伍建设力度，加强专业带头人和骨干教师的培养，优化师资队伍结构。根据我校实际情况，在今后几年中将依据建设需要，重点引进专业带头人和发展潜力突出的年轻硕士、博士，建设一支学术思想活跃、科研能力强、理论水平高的教学、科研队伍。</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1.采取各种优惠政策吸引高学历、高职称人才。引进能胜任安全技术管理教学和科研工作的教授或博士3～5人，硕士研究生3人以上，形成具有较深厚专业业务能力的学科带头人领导的优秀教学团队。</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2.鼓励现有教师进修深造。每年选派两名以上教师到重点普通高校相关系、科进修，特别是着力培养35岁以下有培养潜力的青年教师，大力支持青年教师攻读该专业的硕士、博士学位。</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3.充分发挥学校多年系统办学的优势，组建具有动态流动的兼职教师队伍。以当前兼职教师队伍为基础，遴选优秀教师参与课程体系建设、教学模式探索，提升整体教师队伍专业建设与课程教学的水平。</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4.外聘专家教授。聘请安全技术管理领域专家和国内知名教授担任客座教授，建立一支稳定的兼职教授队伍。</w:t>
      </w:r>
    </w:p>
    <w:p>
      <w:pPr>
        <w:keepNext/>
        <w:keepLines/>
        <w:spacing w:beforeLines="100" w:afterLines="100"/>
        <w:ind w:firstLine="422"/>
        <w:jc w:val="left"/>
        <w:outlineLvl w:val="0"/>
        <w:rPr>
          <w:rFonts w:ascii="宋体" w:hAnsi="宋体"/>
          <w:b/>
          <w:bCs/>
          <w:kern w:val="44"/>
          <w:sz w:val="21"/>
          <w:szCs w:val="21"/>
        </w:rPr>
      </w:pPr>
      <w:bookmarkStart w:id="102" w:name="_Toc454306034"/>
      <w:r>
        <w:rPr>
          <w:rFonts w:hint="eastAsia" w:ascii="宋体" w:hAnsi="宋体"/>
          <w:b/>
          <w:bCs/>
          <w:kern w:val="44"/>
          <w:sz w:val="21"/>
          <w:szCs w:val="21"/>
        </w:rPr>
        <w:t>（四）教学资源建设与共享</w:t>
      </w:r>
      <w:bookmarkEnd w:id="102"/>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发挥教育信息技术的教育能效，建设并扩大优质资源辐射面。以学校远程教育优势资源为依托，结合学校网络课程、微课程、小课件等多种形式教学资源及其建设经验，在较短时间内建成更加丰富、具有良好教学效果、能够多向共享的优质资源。加强核心课程、网络课程建设力度，适应选修课教学平台的资源需求，力争在建设周期内，建成2～3门网络课程。积极参加精品课程建设与评选，力求1门专业课程被评为“省级精品课程”，1门校级“精品课程”。突破常规教学资源建设思路，围绕核心课程进行微课程、小课件等多种形式教学资源建设，为探索翻转式课堂教学等教学改革提供资源支持。加大移动课程资源建设力度，满足成人学习移动性强、碎片性强等新的时代特点，为建构立体式成人教育教学模式提供有力支撑。</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以资源建设为支点，加强学分银行体系建设，使普通高等教育、继续高等教育、非学历教育等多种形式的课程在高质量教学资源教育基础上，实现学分互换，增强继续教育教学灵活性，提高既有教学资源使用效率，更好地为终身教育服务。</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进行考试资源建设，探索改变传统纸质考试形式，研究开发随机考试资源，利用学校远程教育教学平台优势，开发课程考试平台，建设符合现代成人学习对象特点的题库，丰富考试评价途径。</w:t>
      </w:r>
    </w:p>
    <w:p>
      <w:pPr>
        <w:keepNext/>
        <w:keepLines/>
        <w:spacing w:beforeLines="100" w:afterLines="100"/>
        <w:ind w:firstLine="422"/>
        <w:jc w:val="left"/>
        <w:outlineLvl w:val="0"/>
        <w:rPr>
          <w:rFonts w:ascii="宋体" w:hAnsi="宋体"/>
          <w:b/>
          <w:bCs/>
          <w:kern w:val="44"/>
          <w:sz w:val="21"/>
          <w:szCs w:val="21"/>
        </w:rPr>
      </w:pPr>
      <w:bookmarkStart w:id="103" w:name="_Toc454306035"/>
      <w:r>
        <w:rPr>
          <w:rFonts w:hint="eastAsia" w:ascii="宋体" w:hAnsi="宋体"/>
          <w:b/>
          <w:bCs/>
          <w:kern w:val="44"/>
          <w:sz w:val="21"/>
          <w:szCs w:val="21"/>
        </w:rPr>
        <w:t>（五）质量评价监控体系建设</w:t>
      </w:r>
      <w:bookmarkEnd w:id="103"/>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加强专业建设过程中教育教学内部评价与外部评价协同，建成系统全面的教学质量保障体系。建立完善的教学管理监督评价体系，包括以专业负责人和教研室主任、教学督导员为主，组建教学质量评价组织，形成学校督导组、专业教学检查组、专业教师等多层次的相互听课制度，全面实行学分制管理，积极健全教学管理与评估体系，利用外部教育质量评价体系来提升内部教学质量建设。</w:t>
      </w:r>
    </w:p>
    <w:p>
      <w:pPr>
        <w:keepNext/>
        <w:keepLines/>
        <w:spacing w:beforeLines="100" w:afterLines="100"/>
        <w:ind w:firstLine="422"/>
        <w:jc w:val="left"/>
        <w:outlineLvl w:val="0"/>
        <w:rPr>
          <w:rFonts w:ascii="宋体" w:hAnsi="宋体"/>
          <w:b/>
          <w:bCs/>
          <w:kern w:val="44"/>
          <w:sz w:val="21"/>
          <w:szCs w:val="21"/>
        </w:rPr>
      </w:pPr>
      <w:bookmarkStart w:id="104" w:name="_Toc454306036"/>
      <w:r>
        <w:rPr>
          <w:rFonts w:hint="eastAsia" w:ascii="宋体" w:hAnsi="宋体"/>
          <w:b/>
          <w:bCs/>
          <w:kern w:val="44"/>
          <w:sz w:val="21"/>
          <w:szCs w:val="21"/>
        </w:rPr>
        <w:t>（六）教学改革与研究</w:t>
      </w:r>
      <w:bookmarkEnd w:id="104"/>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坚持教师专业发展促进专业特色内涵积淀，以教育教学实践为本，进行教、学、研的深入改革。积极支持教师开展基于学科专业发展的学术教研与科研活动，扶持和帮助教师进行学术交流和研究，申报相关课题，并努力将教学改革研究成果应用于实践，产生一定的实效。</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特别是围绕专业建设中的应用型人才培养模式、立体式人才培养方案，进行教学组织模式、考试评价机制、现代教学资源建设、信息技术与成人继续教育深度整合等课题，进行深入研究。既丰富了成人高等继续教育的内涵与外延，又为专业特色建设积累了丰富的资料与经验，从而全面推进专业建设。</w:t>
      </w:r>
    </w:p>
    <w:p>
      <w:pPr>
        <w:keepNext/>
        <w:keepLines/>
        <w:spacing w:beforeLines="100" w:afterLines="100"/>
        <w:ind w:firstLine="482"/>
        <w:jc w:val="left"/>
        <w:outlineLvl w:val="0"/>
        <w:rPr>
          <w:b/>
          <w:bCs/>
          <w:kern w:val="44"/>
          <w:szCs w:val="44"/>
        </w:rPr>
      </w:pPr>
      <w:bookmarkStart w:id="105" w:name="_Toc454306037"/>
      <w:r>
        <w:rPr>
          <w:rFonts w:hint="eastAsia"/>
          <w:b/>
          <w:bCs/>
          <w:kern w:val="44"/>
          <w:szCs w:val="44"/>
        </w:rPr>
        <w:t>六、建设进度规划</w:t>
      </w:r>
      <w:bookmarkEnd w:id="105"/>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建设的主要内容包括：课程资源建设、教材（讲义）建设、适于远程教学的教育教学改革、校内（校外）实训基地建设和师资队伍建设。</w:t>
      </w:r>
    </w:p>
    <w:p>
      <w:pPr>
        <w:keepNext/>
        <w:keepLines/>
        <w:spacing w:beforeLines="100" w:afterLines="100"/>
        <w:ind w:firstLine="422"/>
        <w:jc w:val="left"/>
        <w:outlineLvl w:val="0"/>
        <w:rPr>
          <w:rFonts w:ascii="宋体" w:hAnsi="宋体"/>
          <w:b/>
          <w:bCs/>
          <w:kern w:val="44"/>
          <w:sz w:val="21"/>
          <w:szCs w:val="21"/>
        </w:rPr>
      </w:pPr>
      <w:bookmarkStart w:id="106" w:name="_Toc454306038"/>
      <w:r>
        <w:rPr>
          <w:rFonts w:hint="eastAsia" w:ascii="宋体" w:hAnsi="宋体"/>
          <w:b/>
          <w:bCs/>
          <w:kern w:val="44"/>
          <w:sz w:val="21"/>
          <w:szCs w:val="21"/>
        </w:rPr>
        <w:t>（一</w:t>
      </w:r>
      <w:r>
        <w:rPr>
          <w:rFonts w:ascii="宋体" w:hAnsi="宋体"/>
          <w:b/>
          <w:bCs/>
          <w:kern w:val="44"/>
          <w:sz w:val="21"/>
          <w:szCs w:val="21"/>
        </w:rPr>
        <w:t>）</w:t>
      </w:r>
      <w:r>
        <w:rPr>
          <w:rFonts w:hint="eastAsia" w:ascii="宋体" w:hAnsi="宋体"/>
          <w:b/>
          <w:bCs/>
          <w:kern w:val="44"/>
          <w:sz w:val="21"/>
          <w:szCs w:val="21"/>
        </w:rPr>
        <w:t>建设进度</w:t>
      </w:r>
      <w:bookmarkEnd w:id="106"/>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本专业建设周期计划2年，主要按三个阶段顺次进行：</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第一阶段（2015年4月～2015年12月）：编制建设方案，进行可行性论证，填写建设任务书，总结和整理专业建设的现有成果和资料，为全面展开建设工作奠定基础。</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第二阶段（2016年1月～2016年5月）：实施年度计划，按照计划建设内容，对人才培养模式和方案进行实证性研究改进，明确具有特色特点的培养方案。以专业课程建设为抓手，对教学团队进行建设，拓展实践教学条件，优化现有教学资源与条件，提升资源建设质量水平，建成一批具有专业适应性的课程资源，并进行多向共享实践。加强质量监管体系完善，建成具有内、外部相互结合的质量评价体系，推进教学改进，以改革促进教学创新，以创新促进专业建设。</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第三阶段（2016年6月～2017年2月）：进一步完善之前专业建设成果，使其更加精细，调整环节中的细节缺陷。总结并推广专业建设成果，丰富高等继续教育特色专业的建设经验。</w:t>
      </w:r>
    </w:p>
    <w:p>
      <w:pPr>
        <w:keepNext/>
        <w:keepLines/>
        <w:spacing w:beforeLines="100" w:afterLines="100"/>
        <w:ind w:left="562" w:firstLine="0" w:firstLineChars="0"/>
        <w:jc w:val="left"/>
        <w:outlineLvl w:val="0"/>
        <w:rPr>
          <w:rFonts w:ascii="宋体" w:hAnsi="宋体"/>
          <w:b/>
          <w:bCs/>
          <w:kern w:val="44"/>
          <w:sz w:val="21"/>
          <w:szCs w:val="21"/>
        </w:rPr>
      </w:pPr>
      <w:bookmarkStart w:id="107" w:name="_Toc454306039"/>
      <w:r>
        <w:rPr>
          <w:rFonts w:hint="eastAsia" w:ascii="宋体" w:hAnsi="宋体"/>
          <w:b/>
          <w:bCs/>
          <w:kern w:val="44"/>
          <w:sz w:val="21"/>
          <w:szCs w:val="21"/>
        </w:rPr>
        <w:t>（二）教学资源建设</w:t>
      </w:r>
      <w:bookmarkEnd w:id="107"/>
    </w:p>
    <w:p>
      <w:pPr>
        <w:ind w:firstLine="422"/>
        <w:rPr>
          <w:rFonts w:ascii="宋体" w:hAnsi="宋体"/>
          <w:b/>
          <w:color w:val="000000"/>
          <w:sz w:val="21"/>
          <w:szCs w:val="21"/>
        </w:rPr>
      </w:pPr>
      <w:r>
        <w:rPr>
          <w:rFonts w:ascii="宋体" w:hAnsi="宋体"/>
          <w:b/>
          <w:color w:val="000000"/>
          <w:sz w:val="21"/>
          <w:szCs w:val="21"/>
        </w:rPr>
        <w:t>1.多媒体课件与课堂录像</w:t>
      </w:r>
    </w:p>
    <w:p>
      <w:pPr>
        <w:ind w:firstLine="420"/>
        <w:rPr>
          <w:rFonts w:ascii="宋体" w:hAnsi="宋体"/>
          <w:color w:val="000000"/>
          <w:sz w:val="21"/>
          <w:szCs w:val="21"/>
        </w:rPr>
      </w:pPr>
      <w:r>
        <w:rPr>
          <w:rFonts w:ascii="宋体" w:hAnsi="宋体"/>
          <w:color w:val="000000"/>
          <w:sz w:val="21"/>
          <w:szCs w:val="21"/>
        </w:rPr>
        <w:t>两年内完成全部课程的课件制作，并保证教学使用。</w:t>
      </w:r>
    </w:p>
    <w:p>
      <w:pPr>
        <w:ind w:firstLine="560" w:firstLineChars="0"/>
        <w:rPr>
          <w:rFonts w:ascii="宋体" w:hAnsi="宋体"/>
          <w:b/>
          <w:color w:val="000000"/>
          <w:sz w:val="21"/>
          <w:szCs w:val="21"/>
        </w:rPr>
      </w:pPr>
      <w:r>
        <w:rPr>
          <w:rFonts w:ascii="宋体" w:hAnsi="宋体"/>
          <w:b/>
          <w:color w:val="000000"/>
          <w:sz w:val="21"/>
          <w:szCs w:val="21"/>
        </w:rPr>
        <w:t>2.文</w:t>
      </w:r>
      <w:r>
        <w:rPr>
          <w:rFonts w:hint="eastAsia" w:ascii="宋体" w:hAnsi="宋体"/>
          <w:b/>
          <w:color w:val="000000"/>
          <w:sz w:val="21"/>
          <w:szCs w:val="21"/>
        </w:rPr>
        <w:t>字教材</w:t>
      </w:r>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教材采用自建、共建和引进三种方式完成。本专业将结合行业特点，开发突出专业职业能力的教材（讲义），联合部分兄弟院校共同开展课程资源建设及专业建设工作，同时将引进西安建筑科技大学资深教授参编和主审，采用引进的方式，吸收系统外优质教材或教学资源。将在2016年内完成全部课程的讲义审定，确保完成全部必修课程的教材由中央广播电视大学正式出版。</w:t>
      </w:r>
    </w:p>
    <w:p>
      <w:pPr>
        <w:ind w:firstLine="560" w:firstLineChars="0"/>
        <w:rPr>
          <w:rFonts w:ascii="宋体" w:hAnsi="宋体"/>
          <w:b/>
          <w:color w:val="000000"/>
          <w:sz w:val="21"/>
          <w:szCs w:val="21"/>
        </w:rPr>
      </w:pPr>
      <w:r>
        <w:rPr>
          <w:rFonts w:ascii="宋体" w:hAnsi="宋体"/>
          <w:b/>
          <w:color w:val="000000"/>
          <w:sz w:val="21"/>
          <w:szCs w:val="21"/>
        </w:rPr>
        <w:t>3.卷库和题库</w:t>
      </w:r>
    </w:p>
    <w:p>
      <w:pPr>
        <w:ind w:firstLine="420"/>
        <w:rPr>
          <w:rFonts w:ascii="宋体" w:hAnsi="宋体"/>
          <w:color w:val="000000"/>
          <w:sz w:val="21"/>
          <w:szCs w:val="21"/>
        </w:rPr>
      </w:pPr>
      <w:r>
        <w:rPr>
          <w:rFonts w:ascii="宋体" w:hAnsi="宋体"/>
          <w:color w:val="000000"/>
          <w:sz w:val="21"/>
          <w:szCs w:val="21"/>
        </w:rPr>
        <w:t>2017年6</w:t>
      </w:r>
      <w:r>
        <w:rPr>
          <w:rFonts w:hint="eastAsia" w:ascii="宋体" w:hAnsi="宋体"/>
          <w:color w:val="000000"/>
          <w:sz w:val="21"/>
          <w:szCs w:val="21"/>
        </w:rPr>
        <w:t>月内完成全部选修课程的随机题库建设，并保证教学使用；必修课程采用</w:t>
      </w:r>
      <w:r>
        <w:rPr>
          <w:rFonts w:ascii="宋体" w:hAnsi="宋体"/>
          <w:color w:val="000000"/>
          <w:sz w:val="21"/>
          <w:szCs w:val="21"/>
        </w:rPr>
        <w:t>国家开放大学和西安建筑科技大学的已有课程教学资源以及</w:t>
      </w:r>
      <w:r>
        <w:rPr>
          <w:rFonts w:hint="eastAsia" w:ascii="宋体" w:hAnsi="宋体"/>
          <w:color w:val="000000"/>
          <w:sz w:val="21"/>
          <w:szCs w:val="21"/>
        </w:rPr>
        <w:t>试题</w:t>
      </w:r>
      <w:r>
        <w:rPr>
          <w:rFonts w:ascii="宋体" w:hAnsi="宋体"/>
          <w:color w:val="000000"/>
          <w:sz w:val="21"/>
          <w:szCs w:val="21"/>
        </w:rPr>
        <w:t>，根据西安当地特色进行</w:t>
      </w:r>
      <w:r>
        <w:rPr>
          <w:rFonts w:hint="eastAsia" w:ascii="宋体" w:hAnsi="宋体"/>
          <w:color w:val="000000"/>
          <w:sz w:val="21"/>
          <w:szCs w:val="21"/>
        </w:rPr>
        <w:t>修订</w:t>
      </w:r>
      <w:r>
        <w:rPr>
          <w:rFonts w:ascii="宋体" w:hAnsi="宋体"/>
          <w:color w:val="000000"/>
          <w:sz w:val="21"/>
          <w:szCs w:val="21"/>
        </w:rPr>
        <w:t>和补充</w:t>
      </w:r>
      <w:r>
        <w:rPr>
          <w:rFonts w:hint="eastAsia" w:ascii="宋体" w:hAnsi="宋体"/>
          <w:color w:val="000000"/>
          <w:sz w:val="21"/>
          <w:szCs w:val="21"/>
        </w:rPr>
        <w:t>。</w:t>
      </w:r>
    </w:p>
    <w:p>
      <w:pPr>
        <w:ind w:left="640" w:firstLine="0" w:firstLineChars="0"/>
        <w:rPr>
          <w:rFonts w:ascii="宋体" w:hAnsi="宋体"/>
          <w:b/>
          <w:color w:val="000000"/>
          <w:sz w:val="21"/>
          <w:szCs w:val="21"/>
        </w:rPr>
      </w:pPr>
    </w:p>
    <w:p>
      <w:pPr>
        <w:ind w:left="640" w:firstLine="0" w:firstLineChars="0"/>
        <w:rPr>
          <w:rFonts w:ascii="宋体" w:hAnsi="宋体"/>
          <w:b/>
          <w:color w:val="000000"/>
          <w:sz w:val="21"/>
          <w:szCs w:val="21"/>
        </w:rPr>
      </w:pPr>
    </w:p>
    <w:p>
      <w:pPr>
        <w:ind w:left="640" w:firstLine="0" w:firstLineChars="0"/>
        <w:rPr>
          <w:rFonts w:ascii="宋体" w:hAnsi="宋体"/>
          <w:b/>
          <w:color w:val="000000"/>
          <w:sz w:val="21"/>
          <w:szCs w:val="21"/>
        </w:rPr>
      </w:pPr>
    </w:p>
    <w:p>
      <w:pPr>
        <w:ind w:left="640" w:firstLine="0" w:firstLineChars="0"/>
        <w:rPr>
          <w:rFonts w:ascii="宋体" w:hAnsi="宋体"/>
          <w:b/>
          <w:color w:val="000000"/>
          <w:sz w:val="21"/>
          <w:szCs w:val="21"/>
        </w:rPr>
      </w:pPr>
      <w:r>
        <w:rPr>
          <w:rFonts w:ascii="宋体" w:hAnsi="宋体"/>
          <w:b/>
          <w:color w:val="000000"/>
          <w:sz w:val="21"/>
          <w:szCs w:val="21"/>
        </w:rPr>
        <w:t>4.</w:t>
      </w:r>
      <w:r>
        <w:rPr>
          <w:rFonts w:hint="eastAsia" w:ascii="宋体" w:hAnsi="宋体"/>
          <w:b/>
          <w:color w:val="000000"/>
          <w:sz w:val="21"/>
          <w:szCs w:val="21"/>
        </w:rPr>
        <w:t>教学资源情况表</w:t>
      </w:r>
    </w:p>
    <w:tbl>
      <w:tblPr>
        <w:tblStyle w:val="1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4124"/>
        <w:gridCol w:w="3255"/>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jc w:val="center"/>
        </w:trPr>
        <w:tc>
          <w:tcPr>
            <w:tcW w:w="838" w:type="dxa"/>
            <w:shd w:val="clear" w:color="auto" w:fill="auto"/>
            <w:vAlign w:val="center"/>
          </w:tcPr>
          <w:p>
            <w:pPr>
              <w:ind w:firstLine="0" w:firstLineChars="0"/>
              <w:jc w:val="center"/>
              <w:rPr>
                <w:rFonts w:ascii="宋体" w:hAnsi="宋体"/>
                <w:b/>
                <w:snapToGrid w:val="0"/>
                <w:color w:val="000000"/>
                <w:sz w:val="21"/>
                <w:szCs w:val="21"/>
              </w:rPr>
            </w:pPr>
            <w:r>
              <w:rPr>
                <w:rFonts w:hint="eastAsia" w:ascii="宋体" w:hAnsi="宋体"/>
                <w:b/>
                <w:snapToGrid w:val="0"/>
                <w:color w:val="000000"/>
                <w:sz w:val="21"/>
                <w:szCs w:val="21"/>
              </w:rPr>
              <w:t>序号</w:t>
            </w:r>
          </w:p>
        </w:tc>
        <w:tc>
          <w:tcPr>
            <w:tcW w:w="4124" w:type="dxa"/>
            <w:shd w:val="clear" w:color="auto" w:fill="auto"/>
            <w:vAlign w:val="center"/>
          </w:tcPr>
          <w:p>
            <w:pPr>
              <w:ind w:firstLine="0" w:firstLineChars="0"/>
              <w:jc w:val="center"/>
              <w:rPr>
                <w:rFonts w:ascii="宋体" w:hAnsi="宋体"/>
                <w:b/>
                <w:color w:val="000000"/>
                <w:sz w:val="21"/>
                <w:szCs w:val="21"/>
              </w:rPr>
            </w:pPr>
            <w:r>
              <w:rPr>
                <w:rFonts w:hint="eastAsia" w:ascii="宋体" w:hAnsi="宋体"/>
                <w:b/>
                <w:snapToGrid w:val="0"/>
                <w:color w:val="000000"/>
                <w:sz w:val="21"/>
                <w:szCs w:val="21"/>
              </w:rPr>
              <w:t>课程名称</w:t>
            </w:r>
          </w:p>
        </w:tc>
        <w:tc>
          <w:tcPr>
            <w:tcW w:w="3255" w:type="dxa"/>
            <w:shd w:val="clear" w:color="auto" w:fill="auto"/>
            <w:vAlign w:val="center"/>
          </w:tcPr>
          <w:p>
            <w:pPr>
              <w:ind w:firstLine="0" w:firstLineChars="0"/>
              <w:jc w:val="center"/>
              <w:rPr>
                <w:rFonts w:ascii="宋体" w:hAnsi="宋体"/>
                <w:b/>
                <w:color w:val="000000"/>
                <w:sz w:val="21"/>
                <w:szCs w:val="21"/>
              </w:rPr>
            </w:pPr>
            <w:r>
              <w:rPr>
                <w:rFonts w:hint="eastAsia" w:ascii="宋体" w:hAnsi="宋体"/>
                <w:b/>
                <w:color w:val="000000"/>
                <w:sz w:val="21"/>
                <w:szCs w:val="21"/>
              </w:rPr>
              <w:t>教学</w:t>
            </w:r>
            <w:r>
              <w:rPr>
                <w:rFonts w:ascii="宋体" w:hAnsi="宋体"/>
                <w:b/>
                <w:color w:val="000000"/>
                <w:sz w:val="21"/>
                <w:szCs w:val="21"/>
              </w:rPr>
              <w:t>资源建设情况</w:t>
            </w:r>
          </w:p>
        </w:tc>
        <w:tc>
          <w:tcPr>
            <w:tcW w:w="850" w:type="dxa"/>
            <w:shd w:val="clear" w:color="auto" w:fill="auto"/>
            <w:vAlign w:val="center"/>
          </w:tcPr>
          <w:p>
            <w:pPr>
              <w:ind w:firstLine="0" w:firstLineChars="0"/>
              <w:jc w:val="center"/>
              <w:rPr>
                <w:rFonts w:ascii="宋体" w:hAnsi="宋体"/>
                <w:b/>
                <w:color w:val="000000"/>
                <w:sz w:val="21"/>
                <w:szCs w:val="21"/>
              </w:rPr>
            </w:pPr>
            <w:r>
              <w:rPr>
                <w:rFonts w:hint="eastAsia" w:ascii="宋体" w:hAnsi="宋体"/>
                <w:b/>
                <w:color w:val="000000"/>
                <w:sz w:val="21"/>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中国特色社会主义理论体系概论</w:t>
            </w:r>
          </w:p>
        </w:tc>
        <w:tc>
          <w:tcPr>
            <w:tcW w:w="3255" w:type="dxa"/>
            <w:vMerge w:val="restart"/>
            <w:shd w:val="clear" w:color="auto" w:fill="auto"/>
            <w:vAlign w:val="center"/>
          </w:tcPr>
          <w:p>
            <w:pPr>
              <w:ind w:firstLine="0" w:firstLineChars="0"/>
              <w:jc w:val="center"/>
              <w:rPr>
                <w:rFonts w:ascii="宋体" w:hAnsi="宋体"/>
                <w:color w:val="000000"/>
                <w:sz w:val="21"/>
                <w:szCs w:val="21"/>
              </w:rPr>
            </w:pPr>
            <w:r>
              <w:rPr>
                <w:rFonts w:hint="eastAsia" w:ascii="宋体" w:hAnsi="宋体"/>
                <w:color w:val="000000"/>
                <w:sz w:val="21"/>
                <w:szCs w:val="21"/>
              </w:rPr>
              <w:t>国家开放大学已开设的课程</w:t>
            </w: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国家开放大学学习指南</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高等数学</w:t>
            </w:r>
            <w:r>
              <w:rPr>
                <w:rFonts w:ascii="宋体" w:hAnsi="宋体" w:cs="宋体"/>
                <w:color w:val="000000"/>
                <w:kern w:val="1"/>
                <w:sz w:val="21"/>
                <w:szCs w:val="21"/>
              </w:rPr>
              <w:t>基础</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工程制图基础</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安全管理</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安全</w:t>
            </w:r>
            <w:r>
              <w:rPr>
                <w:rFonts w:ascii="宋体" w:hAnsi="宋体" w:cs="宋体"/>
                <w:color w:val="000000"/>
                <w:kern w:val="1"/>
                <w:sz w:val="21"/>
                <w:szCs w:val="21"/>
              </w:rPr>
              <w:t>系统工程</w:t>
            </w:r>
          </w:p>
        </w:tc>
        <w:tc>
          <w:tcPr>
            <w:tcW w:w="3255" w:type="dxa"/>
            <w:vMerge w:val="restart"/>
            <w:shd w:val="clear" w:color="auto" w:fill="auto"/>
            <w:vAlign w:val="center"/>
          </w:tcPr>
          <w:p>
            <w:pPr>
              <w:ind w:firstLine="0" w:firstLineChars="0"/>
              <w:jc w:val="center"/>
              <w:rPr>
                <w:rFonts w:ascii="宋体" w:hAnsi="宋体"/>
                <w:color w:val="000000"/>
                <w:sz w:val="21"/>
                <w:szCs w:val="21"/>
              </w:rPr>
            </w:pPr>
            <w:r>
              <w:rPr>
                <w:rFonts w:hint="eastAsia" w:ascii="宋体" w:hAnsi="宋体"/>
                <w:color w:val="000000"/>
                <w:sz w:val="21"/>
                <w:szCs w:val="21"/>
              </w:rPr>
              <w:t>与</w:t>
            </w:r>
            <w:r>
              <w:rPr>
                <w:rFonts w:ascii="宋体" w:hAnsi="宋体"/>
                <w:color w:val="000000"/>
                <w:sz w:val="21"/>
                <w:szCs w:val="21"/>
              </w:rPr>
              <w:t>西安建筑科技大学联合开发课程教学资源。</w:t>
            </w: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安全</w:t>
            </w:r>
            <w:r>
              <w:rPr>
                <w:rFonts w:ascii="宋体" w:hAnsi="宋体" w:cs="宋体"/>
                <w:color w:val="000000"/>
                <w:kern w:val="1"/>
                <w:sz w:val="21"/>
                <w:szCs w:val="21"/>
              </w:rPr>
              <w:t>原理</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安全</w:t>
            </w:r>
            <w:r>
              <w:rPr>
                <w:rFonts w:ascii="宋体" w:hAnsi="宋体" w:cs="宋体"/>
                <w:color w:val="000000"/>
                <w:kern w:val="1"/>
                <w:sz w:val="21"/>
                <w:szCs w:val="21"/>
              </w:rPr>
              <w:t>人机工程</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工</w:t>
            </w:r>
            <w:r>
              <w:rPr>
                <w:rFonts w:ascii="宋体" w:hAnsi="宋体" w:cs="宋体"/>
                <w:color w:val="000000"/>
                <w:kern w:val="1"/>
                <w:sz w:val="21"/>
                <w:szCs w:val="21"/>
              </w:rPr>
              <w:t>业</w:t>
            </w:r>
            <w:r>
              <w:rPr>
                <w:rFonts w:hint="eastAsia" w:ascii="宋体" w:hAnsi="宋体" w:cs="宋体"/>
                <w:color w:val="000000"/>
                <w:kern w:val="1"/>
                <w:sz w:val="21"/>
                <w:szCs w:val="21"/>
              </w:rPr>
              <w:t>通风及</w:t>
            </w:r>
            <w:r>
              <w:rPr>
                <w:rFonts w:ascii="宋体" w:hAnsi="宋体" w:cs="宋体"/>
                <w:color w:val="000000"/>
                <w:kern w:val="1"/>
                <w:sz w:val="21"/>
                <w:szCs w:val="21"/>
              </w:rPr>
              <w:t>除尘</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流体力</w:t>
            </w:r>
            <w:r>
              <w:rPr>
                <w:rFonts w:ascii="宋体" w:hAnsi="宋体" w:cs="宋体"/>
                <w:color w:val="000000"/>
                <w:kern w:val="1"/>
                <w:sz w:val="21"/>
                <w:szCs w:val="21"/>
              </w:rPr>
              <w:t>学与热工学基础</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安全管理文书写作</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信息管理</w:t>
            </w:r>
            <w:r>
              <w:rPr>
                <w:rFonts w:ascii="宋体" w:hAnsi="宋体"/>
                <w:color w:val="000000"/>
                <w:kern w:val="1"/>
                <w:sz w:val="21"/>
                <w:szCs w:val="21"/>
              </w:rPr>
              <w:t>系统</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特种设备安全</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事故管理与应急处置</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防火防爆技术</w:t>
            </w:r>
          </w:p>
        </w:tc>
        <w:tc>
          <w:tcPr>
            <w:tcW w:w="3255" w:type="dxa"/>
            <w:vMerge w:val="continue"/>
            <w:shd w:val="clear" w:color="auto" w:fill="auto"/>
            <w:vAlign w:val="center"/>
          </w:tcPr>
          <w:p>
            <w:pPr>
              <w:ind w:firstLine="0" w:firstLineChars="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电气安全技术</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职业卫生基础</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安全评价</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b/>
                <w:color w:val="000000"/>
                <w:kern w:val="1"/>
                <w:sz w:val="21"/>
                <w:szCs w:val="21"/>
              </w:rPr>
            </w:pPr>
            <w:r>
              <w:rPr>
                <w:rFonts w:hint="eastAsia" w:ascii="宋体" w:hAnsi="宋体" w:cs="宋体"/>
                <w:color w:val="000000"/>
                <w:kern w:val="1"/>
                <w:sz w:val="21"/>
                <w:szCs w:val="21"/>
              </w:rPr>
              <w:t>安全监测与监控</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安全法规</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高危行业安全</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olor w:val="000000"/>
                <w:kern w:val="1"/>
                <w:sz w:val="21"/>
                <w:szCs w:val="21"/>
              </w:rPr>
              <w:t>工程项目管理</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毕业实践</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工业通风除尘课程设计</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防火防爆课程设计</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安全评价课程设计</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olor w:val="000000"/>
                <w:kern w:val="1"/>
                <w:sz w:val="21"/>
                <w:szCs w:val="21"/>
              </w:rPr>
            </w:pPr>
            <w:r>
              <w:rPr>
                <w:rFonts w:hint="eastAsia" w:ascii="宋体" w:hAnsi="宋体"/>
                <w:color w:val="000000"/>
                <w:kern w:val="1"/>
                <w:sz w:val="21"/>
                <w:szCs w:val="21"/>
              </w:rPr>
              <w:t>职业危害</w:t>
            </w:r>
            <w:r>
              <w:rPr>
                <w:rFonts w:ascii="宋体" w:hAnsi="宋体"/>
                <w:color w:val="000000"/>
                <w:kern w:val="1"/>
                <w:sz w:val="21"/>
                <w:szCs w:val="21"/>
              </w:rPr>
              <w:t>因素分析</w:t>
            </w:r>
            <w:r>
              <w:rPr>
                <w:rFonts w:hint="eastAsia" w:ascii="宋体" w:hAnsi="宋体"/>
                <w:color w:val="000000"/>
                <w:kern w:val="1"/>
                <w:sz w:val="21"/>
                <w:szCs w:val="21"/>
              </w:rPr>
              <w:t>评价</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消防安全</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建筑施工安全</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38" w:type="dxa"/>
            <w:shd w:val="clear" w:color="auto" w:fill="auto"/>
          </w:tcPr>
          <w:p>
            <w:pPr>
              <w:numPr>
                <w:ilvl w:val="0"/>
                <w:numId w:val="6"/>
              </w:numPr>
              <w:ind w:firstLineChars="0"/>
              <w:jc w:val="left"/>
              <w:rPr>
                <w:rFonts w:ascii="宋体" w:hAnsi="宋体" w:cs="宋体"/>
                <w:color w:val="000000"/>
                <w:kern w:val="1"/>
                <w:sz w:val="21"/>
                <w:szCs w:val="21"/>
              </w:rPr>
            </w:pPr>
          </w:p>
        </w:tc>
        <w:tc>
          <w:tcPr>
            <w:tcW w:w="4124"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安全工程师培训</w:t>
            </w:r>
            <w:r>
              <w:rPr>
                <w:rFonts w:ascii="宋体" w:hAnsi="宋体" w:cs="宋体"/>
                <w:color w:val="000000"/>
                <w:kern w:val="1"/>
                <w:sz w:val="21"/>
                <w:szCs w:val="21"/>
              </w:rPr>
              <w:t>课程</w:t>
            </w:r>
          </w:p>
        </w:tc>
        <w:tc>
          <w:tcPr>
            <w:tcW w:w="3255" w:type="dxa"/>
            <w:vMerge w:val="continue"/>
            <w:shd w:val="clear" w:color="auto" w:fill="auto"/>
            <w:vAlign w:val="center"/>
          </w:tcPr>
          <w:p>
            <w:pPr>
              <w:ind w:firstLine="420"/>
              <w:jc w:val="center"/>
              <w:rPr>
                <w:rFonts w:ascii="宋体" w:hAnsi="宋体"/>
                <w:color w:val="000000"/>
                <w:sz w:val="21"/>
                <w:szCs w:val="21"/>
              </w:rPr>
            </w:pPr>
          </w:p>
        </w:tc>
        <w:tc>
          <w:tcPr>
            <w:tcW w:w="850" w:type="dxa"/>
            <w:shd w:val="clear" w:color="auto" w:fill="auto"/>
            <w:vAlign w:val="center"/>
          </w:tcPr>
          <w:p>
            <w:pPr>
              <w:ind w:firstLine="0" w:firstLineChars="0"/>
              <w:jc w:val="center"/>
              <w:rPr>
                <w:rFonts w:ascii="宋体" w:hAnsi="宋体"/>
                <w:color w:val="000000"/>
                <w:sz w:val="21"/>
                <w:szCs w:val="21"/>
              </w:rPr>
            </w:pPr>
            <w:r>
              <w:rPr>
                <w:rFonts w:ascii="宋体" w:hAnsi="宋体"/>
                <w:color w:val="000000"/>
                <w:sz w:val="21"/>
                <w:szCs w:val="21"/>
              </w:rPr>
              <w:t>5</w:t>
            </w:r>
          </w:p>
        </w:tc>
      </w:tr>
    </w:tbl>
    <w:p>
      <w:pPr>
        <w:ind w:left="640" w:firstLine="0" w:firstLineChars="0"/>
        <w:rPr>
          <w:rFonts w:ascii="宋体" w:hAnsi="宋体"/>
          <w:b/>
          <w:color w:val="000000"/>
          <w:sz w:val="21"/>
          <w:szCs w:val="21"/>
        </w:rPr>
      </w:pPr>
    </w:p>
    <w:p>
      <w:pPr>
        <w:ind w:left="640" w:firstLine="0" w:firstLineChars="0"/>
        <w:rPr>
          <w:rFonts w:ascii="宋体" w:hAnsi="宋体"/>
          <w:b/>
          <w:color w:val="000000"/>
          <w:sz w:val="21"/>
          <w:szCs w:val="21"/>
        </w:rPr>
      </w:pPr>
      <w:r>
        <w:rPr>
          <w:rFonts w:ascii="宋体" w:hAnsi="宋体"/>
          <w:b/>
          <w:color w:val="000000"/>
          <w:sz w:val="21"/>
          <w:szCs w:val="21"/>
        </w:rPr>
        <w:t>5.2016年秋（第一学期）教学资源到位情况</w:t>
      </w:r>
    </w:p>
    <w:tbl>
      <w:tblPr>
        <w:tblStyle w:val="1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2441"/>
        <w:gridCol w:w="2409"/>
        <w:gridCol w:w="2410"/>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815" w:type="dxa"/>
            <w:shd w:val="clear" w:color="auto" w:fill="auto"/>
            <w:vAlign w:val="center"/>
          </w:tcPr>
          <w:p>
            <w:pPr>
              <w:ind w:firstLine="0" w:firstLineChars="0"/>
              <w:jc w:val="center"/>
              <w:rPr>
                <w:rFonts w:ascii="宋体" w:hAnsi="宋体" w:cs="宋体"/>
                <w:b/>
                <w:color w:val="000000"/>
                <w:kern w:val="1"/>
                <w:sz w:val="21"/>
                <w:szCs w:val="21"/>
              </w:rPr>
            </w:pPr>
            <w:r>
              <w:rPr>
                <w:rFonts w:hint="eastAsia" w:ascii="宋体" w:hAnsi="宋体" w:cs="宋体"/>
                <w:b/>
                <w:color w:val="000000"/>
                <w:kern w:val="1"/>
                <w:sz w:val="21"/>
                <w:szCs w:val="21"/>
              </w:rPr>
              <w:t>序号</w:t>
            </w:r>
          </w:p>
        </w:tc>
        <w:tc>
          <w:tcPr>
            <w:tcW w:w="2441" w:type="dxa"/>
            <w:shd w:val="clear" w:color="auto" w:fill="auto"/>
            <w:vAlign w:val="center"/>
          </w:tcPr>
          <w:p>
            <w:pPr>
              <w:ind w:firstLine="0" w:firstLineChars="0"/>
              <w:jc w:val="center"/>
              <w:rPr>
                <w:rFonts w:ascii="宋体" w:hAnsi="宋体" w:cs="宋体"/>
                <w:b/>
                <w:color w:val="000000"/>
                <w:kern w:val="1"/>
                <w:sz w:val="21"/>
                <w:szCs w:val="21"/>
              </w:rPr>
            </w:pPr>
            <w:r>
              <w:rPr>
                <w:rFonts w:hint="eastAsia" w:ascii="宋体" w:hAnsi="宋体" w:cs="宋体"/>
                <w:b/>
                <w:color w:val="000000"/>
                <w:kern w:val="1"/>
                <w:sz w:val="21"/>
                <w:szCs w:val="21"/>
              </w:rPr>
              <w:t>课程名称</w:t>
            </w:r>
          </w:p>
        </w:tc>
        <w:tc>
          <w:tcPr>
            <w:tcW w:w="2409" w:type="dxa"/>
            <w:shd w:val="clear" w:color="auto" w:fill="auto"/>
            <w:vAlign w:val="center"/>
          </w:tcPr>
          <w:p>
            <w:pPr>
              <w:ind w:firstLine="0" w:firstLineChars="0"/>
              <w:jc w:val="center"/>
              <w:rPr>
                <w:rFonts w:ascii="宋体" w:hAnsi="宋体" w:cs="宋体"/>
                <w:b/>
                <w:color w:val="000000"/>
                <w:kern w:val="1"/>
                <w:sz w:val="21"/>
                <w:szCs w:val="21"/>
              </w:rPr>
            </w:pPr>
            <w:r>
              <w:rPr>
                <w:rFonts w:hint="eastAsia" w:ascii="宋体" w:hAnsi="宋体" w:cs="宋体"/>
                <w:b/>
                <w:color w:val="000000"/>
                <w:kern w:val="1"/>
                <w:sz w:val="21"/>
                <w:szCs w:val="21"/>
              </w:rPr>
              <w:t>教材名称</w:t>
            </w:r>
          </w:p>
        </w:tc>
        <w:tc>
          <w:tcPr>
            <w:tcW w:w="2410" w:type="dxa"/>
            <w:shd w:val="clear" w:color="auto" w:fill="auto"/>
            <w:vAlign w:val="center"/>
          </w:tcPr>
          <w:p>
            <w:pPr>
              <w:ind w:firstLine="0" w:firstLineChars="0"/>
              <w:jc w:val="center"/>
              <w:rPr>
                <w:rFonts w:ascii="宋体" w:hAnsi="宋体" w:cs="宋体"/>
                <w:b/>
                <w:color w:val="000000"/>
                <w:kern w:val="1"/>
                <w:sz w:val="21"/>
                <w:szCs w:val="21"/>
              </w:rPr>
            </w:pPr>
            <w:r>
              <w:rPr>
                <w:rFonts w:hint="eastAsia" w:ascii="宋体" w:hAnsi="宋体" w:cs="宋体"/>
                <w:b/>
                <w:color w:val="000000"/>
                <w:kern w:val="1"/>
                <w:sz w:val="21"/>
                <w:szCs w:val="21"/>
              </w:rPr>
              <w:t>主编\作者</w:t>
            </w:r>
          </w:p>
        </w:tc>
        <w:tc>
          <w:tcPr>
            <w:tcW w:w="992" w:type="dxa"/>
            <w:shd w:val="clear" w:color="auto" w:fill="auto"/>
            <w:vAlign w:val="center"/>
          </w:tcPr>
          <w:p>
            <w:pPr>
              <w:ind w:firstLine="0" w:firstLineChars="0"/>
              <w:jc w:val="center"/>
              <w:rPr>
                <w:rFonts w:ascii="宋体" w:hAnsi="宋体" w:cs="宋体"/>
                <w:b/>
                <w:color w:val="000000"/>
                <w:kern w:val="1"/>
                <w:sz w:val="21"/>
                <w:szCs w:val="21"/>
              </w:rPr>
            </w:pPr>
            <w:r>
              <w:rPr>
                <w:rFonts w:hint="eastAsia" w:ascii="宋体" w:hAnsi="宋体" w:cs="宋体"/>
                <w:b/>
                <w:color w:val="000000"/>
                <w:kern w:val="1"/>
                <w:sz w:val="21"/>
                <w:szCs w:val="21"/>
              </w:rPr>
              <w:t>主讲教师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15" w:type="dxa"/>
            <w:shd w:val="clear" w:color="auto" w:fill="auto"/>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1</w:t>
            </w:r>
          </w:p>
        </w:tc>
        <w:tc>
          <w:tcPr>
            <w:tcW w:w="2441"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中国特色社会主义理论体系概论</w:t>
            </w:r>
          </w:p>
        </w:tc>
        <w:tc>
          <w:tcPr>
            <w:tcW w:w="2409"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中国特色社会主义理论体系概论</w:t>
            </w:r>
          </w:p>
        </w:tc>
        <w:tc>
          <w:tcPr>
            <w:tcW w:w="2410"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陈占安</w:t>
            </w:r>
            <w:r>
              <w:fldChar w:fldCharType="begin"/>
            </w:r>
            <w:r>
              <w:instrText xml:space="preserve"> HYPERLINK "http://search.wl.cn/search.aspx?index=2&amp;q=%e5%85%a8%e5%9b%bd%e9%ab%98%e6%a0%a1%e7%bd%91%e7%bb%9c%e6%95%99%e8%82%b2%e8%80%83%e8%af%95%e5%a7%94%e5%91%98%e4%bc%9a%e5%8a%9e%e5%85%ac%e5%ae%a4%e7%bb%84%e7%bc%96" \t "_blank" </w:instrText>
            </w:r>
            <w:r>
              <w:fldChar w:fldCharType="separate"/>
            </w:r>
            <w:r>
              <w:fldChar w:fldCharType="end"/>
            </w:r>
          </w:p>
        </w:tc>
        <w:tc>
          <w:tcPr>
            <w:tcW w:w="992"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张宇</w:t>
            </w:r>
            <w:r>
              <w:fldChar w:fldCharType="begin"/>
            </w:r>
            <w:r>
              <w:instrText xml:space="preserve"> HYPERLINK "http://search.wl.cn/search.aspx?index=2&amp;q=%e5%85%a8%e5%9b%bd%e9%ab%98%e6%a0%a1%e7%bd%91%e7%bb%9c%e6%95%99%e8%82%b2%e8%80%83%e8%af%95%e5%a7%94%e5%91%98%e4%bc%9a%e5%8a%9e%e5%85%ac%e5%ae%a4%e7%bb%84%e7%bc%96" \t "_blank" </w:instrText>
            </w:r>
            <w:r>
              <w:fldChar w:fldCharType="separate"/>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15" w:type="dxa"/>
            <w:shd w:val="clear" w:color="auto" w:fill="auto"/>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2</w:t>
            </w:r>
          </w:p>
        </w:tc>
        <w:tc>
          <w:tcPr>
            <w:tcW w:w="2441"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国家开放大学学习指南</w:t>
            </w:r>
          </w:p>
        </w:tc>
        <w:tc>
          <w:tcPr>
            <w:tcW w:w="2409"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国家开放大学学习指南</w:t>
            </w:r>
          </w:p>
        </w:tc>
        <w:tc>
          <w:tcPr>
            <w:tcW w:w="2410"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杨志坚</w:t>
            </w:r>
          </w:p>
        </w:tc>
        <w:tc>
          <w:tcPr>
            <w:tcW w:w="992"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宋锋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15" w:type="dxa"/>
            <w:shd w:val="clear" w:color="auto" w:fill="auto"/>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3</w:t>
            </w:r>
          </w:p>
        </w:tc>
        <w:tc>
          <w:tcPr>
            <w:tcW w:w="2441"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英语</w:t>
            </w:r>
            <w:r>
              <w:rPr>
                <w:rFonts w:hint="eastAsia" w:ascii="宋体" w:hAnsi="宋体" w:cs="宋体"/>
                <w:color w:val="000000"/>
                <w:kern w:val="1"/>
                <w:sz w:val="21"/>
                <w:szCs w:val="21"/>
              </w:rPr>
              <w:t>Ⅰ（</w:t>
            </w:r>
            <w:r>
              <w:rPr>
                <w:rFonts w:ascii="宋体" w:hAnsi="宋体" w:cs="宋体"/>
                <w:color w:val="000000"/>
                <w:kern w:val="1"/>
                <w:sz w:val="21"/>
                <w:szCs w:val="21"/>
              </w:rPr>
              <w:t>1</w:t>
            </w:r>
            <w:r>
              <w:rPr>
                <w:rFonts w:hint="eastAsia" w:ascii="宋体" w:hAnsi="宋体" w:cs="宋体"/>
                <w:color w:val="000000"/>
                <w:kern w:val="1"/>
                <w:sz w:val="21"/>
                <w:szCs w:val="21"/>
              </w:rPr>
              <w:t>）</w:t>
            </w:r>
          </w:p>
        </w:tc>
        <w:tc>
          <w:tcPr>
            <w:tcW w:w="2409"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英语</w:t>
            </w:r>
            <w:r>
              <w:rPr>
                <w:rFonts w:hint="eastAsia" w:ascii="宋体" w:hAnsi="宋体" w:cs="宋体"/>
                <w:color w:val="000000"/>
                <w:kern w:val="1"/>
                <w:sz w:val="21"/>
                <w:szCs w:val="21"/>
              </w:rPr>
              <w:t>Ⅰ（</w:t>
            </w:r>
            <w:r>
              <w:rPr>
                <w:rFonts w:ascii="宋体" w:hAnsi="宋体" w:cs="宋体"/>
                <w:color w:val="000000"/>
                <w:kern w:val="1"/>
                <w:sz w:val="21"/>
                <w:szCs w:val="21"/>
              </w:rPr>
              <w:t>1</w:t>
            </w:r>
            <w:r>
              <w:rPr>
                <w:rFonts w:hint="eastAsia" w:ascii="宋体" w:hAnsi="宋体" w:cs="宋体"/>
                <w:color w:val="000000"/>
                <w:kern w:val="1"/>
                <w:sz w:val="21"/>
                <w:szCs w:val="21"/>
              </w:rPr>
              <w:t>）</w:t>
            </w:r>
          </w:p>
        </w:tc>
        <w:tc>
          <w:tcPr>
            <w:tcW w:w="2410" w:type="dxa"/>
            <w:shd w:val="clear" w:color="auto" w:fill="auto"/>
            <w:vAlign w:val="center"/>
          </w:tcPr>
          <w:p>
            <w:pPr>
              <w:ind w:firstLine="0" w:firstLineChars="0"/>
              <w:jc w:val="center"/>
              <w:rPr>
                <w:rFonts w:ascii="宋体" w:hAnsi="宋体"/>
                <w:sz w:val="21"/>
                <w:szCs w:val="21"/>
              </w:rPr>
            </w:pPr>
            <w:r>
              <w:rPr>
                <w:rFonts w:hint="eastAsia" w:ascii="宋体" w:hAnsi="宋体"/>
                <w:sz w:val="21"/>
                <w:szCs w:val="21"/>
              </w:rPr>
              <w:t>（英）Duncan Sidwell刘黛琳</w:t>
            </w:r>
          </w:p>
        </w:tc>
        <w:tc>
          <w:tcPr>
            <w:tcW w:w="992"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韩喜春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15" w:type="dxa"/>
            <w:shd w:val="clear" w:color="auto" w:fill="auto"/>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4</w:t>
            </w:r>
          </w:p>
        </w:tc>
        <w:tc>
          <w:tcPr>
            <w:tcW w:w="2441"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高等</w:t>
            </w:r>
            <w:r>
              <w:rPr>
                <w:rFonts w:ascii="宋体" w:hAnsi="宋体" w:cs="宋体"/>
                <w:color w:val="000000"/>
                <w:kern w:val="1"/>
                <w:sz w:val="21"/>
                <w:szCs w:val="21"/>
              </w:rPr>
              <w:t>数</w:t>
            </w:r>
            <w:r>
              <w:rPr>
                <w:rFonts w:hint="eastAsia" w:ascii="宋体" w:hAnsi="宋体" w:cs="宋体"/>
                <w:color w:val="000000"/>
                <w:kern w:val="1"/>
                <w:sz w:val="21"/>
                <w:szCs w:val="21"/>
              </w:rPr>
              <w:t>学</w:t>
            </w:r>
            <w:r>
              <w:rPr>
                <w:rFonts w:ascii="宋体" w:hAnsi="宋体" w:cs="宋体"/>
                <w:color w:val="000000"/>
                <w:kern w:val="1"/>
                <w:sz w:val="21"/>
                <w:szCs w:val="21"/>
              </w:rPr>
              <w:t>基础</w:t>
            </w:r>
          </w:p>
        </w:tc>
        <w:tc>
          <w:tcPr>
            <w:tcW w:w="2409"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微积分基础</w:t>
            </w:r>
          </w:p>
        </w:tc>
        <w:tc>
          <w:tcPr>
            <w:tcW w:w="2410"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赵坚</w:t>
            </w:r>
          </w:p>
        </w:tc>
        <w:tc>
          <w:tcPr>
            <w:tcW w:w="992"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侯新昌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15" w:type="dxa"/>
            <w:shd w:val="clear" w:color="auto" w:fill="auto"/>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5</w:t>
            </w:r>
          </w:p>
        </w:tc>
        <w:tc>
          <w:tcPr>
            <w:tcW w:w="2441"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工程制图基础</w:t>
            </w:r>
          </w:p>
        </w:tc>
        <w:tc>
          <w:tcPr>
            <w:tcW w:w="2409"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工程制图基础</w:t>
            </w:r>
          </w:p>
        </w:tc>
        <w:tc>
          <w:tcPr>
            <w:tcW w:w="2410" w:type="dxa"/>
            <w:shd w:val="clear" w:color="auto" w:fill="auto"/>
            <w:vAlign w:val="center"/>
          </w:tcPr>
          <w:p>
            <w:pPr>
              <w:ind w:firstLine="0" w:firstLineChars="0"/>
              <w:jc w:val="center"/>
              <w:rPr>
                <w:rFonts w:ascii="宋体" w:hAnsi="宋体" w:cs="宋体"/>
                <w:color w:val="000000"/>
                <w:kern w:val="1"/>
                <w:sz w:val="21"/>
                <w:szCs w:val="21"/>
              </w:rPr>
            </w:pPr>
            <w:r>
              <w:fldChar w:fldCharType="begin"/>
            </w:r>
            <w:r>
              <w:instrText xml:space="preserve"> HYPERLINK "http://book.kongfz.com/author/y0zk7126k6c38k548ck20/" \t "_blank" \o "焦永和 " </w:instrText>
            </w:r>
            <w:r>
              <w:fldChar w:fldCharType="separate"/>
            </w:r>
            <w:r>
              <w:rPr>
                <w:rFonts w:ascii="宋体" w:hAnsi="宋体" w:cs="宋体"/>
                <w:color w:val="000000"/>
                <w:kern w:val="1"/>
                <w:sz w:val="21"/>
                <w:szCs w:val="21"/>
              </w:rPr>
              <w:t>焦永和</w:t>
            </w:r>
            <w:r>
              <w:rPr>
                <w:rFonts w:ascii="宋体" w:hAnsi="宋体" w:cs="宋体"/>
                <w:color w:val="000000"/>
                <w:kern w:val="1"/>
                <w:sz w:val="21"/>
                <w:szCs w:val="21"/>
              </w:rPr>
              <w:fldChar w:fldCharType="end"/>
            </w:r>
          </w:p>
        </w:tc>
        <w:tc>
          <w:tcPr>
            <w:tcW w:w="992"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严峥嵘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15" w:type="dxa"/>
            <w:shd w:val="clear" w:color="auto" w:fill="auto"/>
            <w:vAlign w:val="center"/>
          </w:tcPr>
          <w:p>
            <w:pPr>
              <w:ind w:firstLine="0" w:firstLineChars="0"/>
              <w:jc w:val="center"/>
              <w:rPr>
                <w:rFonts w:ascii="宋体" w:hAnsi="宋体"/>
                <w:color w:val="000000"/>
                <w:kern w:val="1"/>
                <w:sz w:val="21"/>
                <w:szCs w:val="21"/>
              </w:rPr>
            </w:pPr>
            <w:r>
              <w:rPr>
                <w:rFonts w:ascii="宋体" w:hAnsi="宋体"/>
                <w:color w:val="000000"/>
                <w:kern w:val="1"/>
                <w:sz w:val="21"/>
                <w:szCs w:val="21"/>
              </w:rPr>
              <w:t>6</w:t>
            </w:r>
          </w:p>
        </w:tc>
        <w:tc>
          <w:tcPr>
            <w:tcW w:w="2441" w:type="dxa"/>
            <w:shd w:val="clear" w:color="auto" w:fill="auto"/>
            <w:vAlign w:val="center"/>
          </w:tcPr>
          <w:p>
            <w:pPr>
              <w:ind w:firstLine="0" w:firstLineChars="0"/>
              <w:jc w:val="center"/>
              <w:rPr>
                <w:rFonts w:ascii="宋体" w:hAnsi="宋体" w:cs="宋体"/>
                <w:color w:val="000000"/>
                <w:kern w:val="1"/>
                <w:sz w:val="21"/>
                <w:szCs w:val="21"/>
              </w:rPr>
            </w:pPr>
            <w:r>
              <w:rPr>
                <w:rFonts w:ascii="宋体" w:hAnsi="宋体" w:cs="宋体"/>
                <w:color w:val="000000"/>
                <w:kern w:val="1"/>
                <w:sz w:val="21"/>
                <w:szCs w:val="21"/>
              </w:rPr>
              <w:t>安全系统工程</w:t>
            </w:r>
          </w:p>
        </w:tc>
        <w:tc>
          <w:tcPr>
            <w:tcW w:w="2409"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安全</w:t>
            </w:r>
            <w:r>
              <w:rPr>
                <w:rFonts w:ascii="宋体" w:hAnsi="宋体" w:cs="宋体"/>
                <w:color w:val="000000"/>
                <w:kern w:val="1"/>
                <w:sz w:val="21"/>
                <w:szCs w:val="21"/>
              </w:rPr>
              <w:t>系统工程</w:t>
            </w:r>
          </w:p>
        </w:tc>
        <w:tc>
          <w:tcPr>
            <w:tcW w:w="2410"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徐</w:t>
            </w:r>
            <w:r>
              <w:rPr>
                <w:rFonts w:ascii="宋体" w:hAnsi="宋体" w:cs="宋体"/>
                <w:color w:val="000000"/>
                <w:kern w:val="1"/>
                <w:sz w:val="21"/>
                <w:szCs w:val="21"/>
              </w:rPr>
              <w:t>志胜</w:t>
            </w:r>
          </w:p>
        </w:tc>
        <w:tc>
          <w:tcPr>
            <w:tcW w:w="992" w:type="dxa"/>
            <w:shd w:val="clear" w:color="auto" w:fill="auto"/>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林</w:t>
            </w:r>
            <w:r>
              <w:rPr>
                <w:rFonts w:ascii="宋体" w:hAnsi="宋体" w:cs="宋体"/>
                <w:color w:val="000000"/>
                <w:kern w:val="1"/>
                <w:sz w:val="21"/>
                <w:szCs w:val="21"/>
              </w:rPr>
              <w:t>海飞</w:t>
            </w:r>
          </w:p>
        </w:tc>
      </w:tr>
    </w:tbl>
    <w:p>
      <w:pPr>
        <w:ind w:left="640" w:firstLine="0" w:firstLineChars="0"/>
        <w:rPr>
          <w:rFonts w:ascii="宋体" w:hAnsi="宋体"/>
          <w:b/>
          <w:color w:val="000000"/>
          <w:sz w:val="21"/>
          <w:szCs w:val="21"/>
        </w:rPr>
      </w:pPr>
    </w:p>
    <w:p>
      <w:pPr>
        <w:ind w:left="640" w:firstLine="0" w:firstLineChars="0"/>
        <w:rPr>
          <w:rFonts w:ascii="宋体" w:hAnsi="宋体"/>
          <w:b/>
          <w:color w:val="000000"/>
          <w:sz w:val="21"/>
          <w:szCs w:val="21"/>
        </w:rPr>
      </w:pPr>
      <w:r>
        <w:rPr>
          <w:rFonts w:ascii="宋体" w:hAnsi="宋体"/>
          <w:b/>
          <w:color w:val="000000"/>
          <w:sz w:val="21"/>
          <w:szCs w:val="21"/>
        </w:rPr>
        <w:t>6.实训基地建设</w:t>
      </w:r>
    </w:p>
    <w:p>
      <w:pPr>
        <w:ind w:firstLine="420"/>
        <w:rPr>
          <w:rFonts w:ascii="宋体" w:hAnsi="宋体"/>
          <w:color w:val="000000"/>
          <w:sz w:val="21"/>
          <w:szCs w:val="21"/>
        </w:rPr>
      </w:pPr>
      <w:r>
        <w:rPr>
          <w:rFonts w:hint="eastAsia" w:ascii="宋体" w:hAnsi="宋体"/>
          <w:color w:val="000000"/>
          <w:sz w:val="21"/>
          <w:szCs w:val="21"/>
          <w:lang w:val="en-US" w:eastAsia="zh-CN"/>
        </w:rPr>
        <w:t xml:space="preserve">  </w:t>
      </w:r>
      <w:r>
        <w:rPr>
          <w:rFonts w:hint="eastAsia" w:ascii="宋体" w:hAnsi="宋体"/>
          <w:color w:val="000000"/>
          <w:sz w:val="21"/>
          <w:szCs w:val="21"/>
        </w:rPr>
        <w:t>目前已确定的第一批校外实践基地名单：</w:t>
      </w:r>
    </w:p>
    <w:tbl>
      <w:tblPr>
        <w:tblStyle w:val="16"/>
        <w:tblW w:w="4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16" w:type="dxa"/>
            <w:vAlign w:val="center"/>
          </w:tcPr>
          <w:p>
            <w:pPr>
              <w:ind w:firstLine="0" w:firstLineChars="0"/>
              <w:jc w:val="center"/>
              <w:rPr>
                <w:rFonts w:ascii="宋体" w:hAnsi="宋体"/>
                <w:b/>
                <w:color w:val="000000"/>
                <w:sz w:val="21"/>
                <w:szCs w:val="21"/>
              </w:rPr>
            </w:pPr>
            <w:r>
              <w:rPr>
                <w:rFonts w:hint="eastAsia" w:ascii="宋体" w:hAnsi="宋体"/>
                <w:b/>
                <w:color w:val="000000"/>
                <w:sz w:val="21"/>
                <w:szCs w:val="21"/>
              </w:rPr>
              <w:t>序号</w:t>
            </w:r>
          </w:p>
        </w:tc>
        <w:tc>
          <w:tcPr>
            <w:tcW w:w="4083" w:type="dxa"/>
            <w:vAlign w:val="center"/>
          </w:tcPr>
          <w:p>
            <w:pPr>
              <w:ind w:firstLine="0" w:firstLineChars="0"/>
              <w:jc w:val="center"/>
              <w:rPr>
                <w:rFonts w:ascii="宋体" w:hAnsi="宋体"/>
                <w:b/>
                <w:color w:val="000000"/>
                <w:sz w:val="21"/>
                <w:szCs w:val="21"/>
              </w:rPr>
            </w:pPr>
            <w:r>
              <w:rPr>
                <w:rFonts w:hint="eastAsia" w:ascii="宋体" w:hAnsi="宋体"/>
                <w:b/>
                <w:color w:val="000000"/>
                <w:sz w:val="21"/>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16" w:type="dxa"/>
            <w:vAlign w:val="center"/>
          </w:tcPr>
          <w:p>
            <w:pPr>
              <w:ind w:firstLine="0" w:firstLineChars="0"/>
              <w:jc w:val="center"/>
              <w:rPr>
                <w:rFonts w:ascii="宋体" w:hAnsi="宋体"/>
                <w:color w:val="000000"/>
                <w:sz w:val="21"/>
                <w:szCs w:val="21"/>
              </w:rPr>
            </w:pPr>
            <w:r>
              <w:rPr>
                <w:rFonts w:ascii="宋体" w:hAnsi="宋体"/>
                <w:color w:val="000000"/>
                <w:sz w:val="21"/>
                <w:szCs w:val="21"/>
              </w:rPr>
              <w:t>1</w:t>
            </w:r>
          </w:p>
        </w:tc>
        <w:tc>
          <w:tcPr>
            <w:tcW w:w="4083" w:type="dxa"/>
            <w:vAlign w:val="center"/>
          </w:tcPr>
          <w:p>
            <w:pPr>
              <w:ind w:firstLine="0" w:firstLineChars="0"/>
              <w:jc w:val="center"/>
              <w:rPr>
                <w:rFonts w:ascii="宋体" w:hAnsi="宋体"/>
                <w:color w:val="000000"/>
                <w:sz w:val="21"/>
                <w:szCs w:val="21"/>
              </w:rPr>
            </w:pPr>
            <w:r>
              <w:rPr>
                <w:rFonts w:hint="eastAsia" w:ascii="宋体" w:hAnsi="宋体"/>
                <w:color w:val="000000"/>
                <w:sz w:val="21"/>
                <w:szCs w:val="21"/>
              </w:rPr>
              <w:t>西安</w:t>
            </w:r>
            <w:r>
              <w:rPr>
                <w:rFonts w:ascii="宋体" w:hAnsi="宋体"/>
                <w:color w:val="000000"/>
                <w:sz w:val="21"/>
                <w:szCs w:val="21"/>
              </w:rPr>
              <w:t>建筑科技大学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6" w:type="dxa"/>
            <w:vAlign w:val="center"/>
          </w:tcPr>
          <w:p>
            <w:pPr>
              <w:ind w:firstLine="0" w:firstLineChars="0"/>
              <w:jc w:val="center"/>
              <w:rPr>
                <w:rFonts w:ascii="宋体" w:hAnsi="宋体"/>
                <w:color w:val="000000"/>
                <w:sz w:val="21"/>
                <w:szCs w:val="21"/>
              </w:rPr>
            </w:pPr>
            <w:r>
              <w:rPr>
                <w:rFonts w:ascii="宋体" w:hAnsi="宋体"/>
                <w:color w:val="000000"/>
                <w:sz w:val="21"/>
                <w:szCs w:val="21"/>
              </w:rPr>
              <w:t>2</w:t>
            </w:r>
          </w:p>
        </w:tc>
        <w:tc>
          <w:tcPr>
            <w:tcW w:w="4083" w:type="dxa"/>
            <w:vAlign w:val="center"/>
          </w:tcPr>
          <w:p>
            <w:pPr>
              <w:ind w:firstLine="0" w:firstLineChars="0"/>
              <w:jc w:val="center"/>
              <w:rPr>
                <w:rFonts w:ascii="宋体" w:hAnsi="宋体"/>
                <w:color w:val="000000"/>
                <w:sz w:val="21"/>
                <w:szCs w:val="21"/>
              </w:rPr>
            </w:pPr>
            <w:r>
              <w:rPr>
                <w:rFonts w:ascii="宋体" w:hAnsi="宋体"/>
                <w:color w:val="000000"/>
                <w:sz w:val="21"/>
                <w:szCs w:val="21"/>
              </w:rPr>
              <w:t>职业卫生监管局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6" w:type="dxa"/>
            <w:vAlign w:val="center"/>
          </w:tcPr>
          <w:p>
            <w:pPr>
              <w:ind w:firstLine="0" w:firstLineChars="0"/>
              <w:jc w:val="center"/>
              <w:rPr>
                <w:rFonts w:ascii="宋体" w:hAnsi="宋体"/>
                <w:color w:val="000000"/>
                <w:sz w:val="21"/>
                <w:szCs w:val="21"/>
              </w:rPr>
            </w:pPr>
            <w:r>
              <w:rPr>
                <w:rFonts w:ascii="宋体" w:hAnsi="宋体"/>
                <w:color w:val="000000"/>
                <w:sz w:val="21"/>
                <w:szCs w:val="21"/>
              </w:rPr>
              <w:t>3</w:t>
            </w:r>
          </w:p>
        </w:tc>
        <w:tc>
          <w:tcPr>
            <w:tcW w:w="4083" w:type="dxa"/>
            <w:vAlign w:val="center"/>
          </w:tcPr>
          <w:p>
            <w:pPr>
              <w:ind w:firstLine="0" w:firstLineChars="0"/>
              <w:jc w:val="center"/>
              <w:rPr>
                <w:rFonts w:ascii="宋体" w:hAnsi="宋体"/>
                <w:color w:val="000000"/>
                <w:sz w:val="21"/>
                <w:szCs w:val="21"/>
              </w:rPr>
            </w:pPr>
            <w:r>
              <w:rPr>
                <w:rFonts w:ascii="宋体" w:hAnsi="宋体"/>
                <w:color w:val="000000"/>
                <w:sz w:val="21"/>
                <w:szCs w:val="21"/>
              </w:rPr>
              <w:t>公路</w:t>
            </w:r>
            <w:r>
              <w:rPr>
                <w:rFonts w:hint="eastAsia" w:ascii="宋体" w:hAnsi="宋体"/>
                <w:color w:val="000000"/>
                <w:sz w:val="21"/>
                <w:szCs w:val="21"/>
              </w:rPr>
              <w:t>安全调查</w:t>
            </w:r>
            <w:r>
              <w:rPr>
                <w:rFonts w:ascii="宋体" w:hAnsi="宋体"/>
                <w:color w:val="000000"/>
                <w:sz w:val="21"/>
                <w:szCs w:val="21"/>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6" w:type="dxa"/>
            <w:vAlign w:val="center"/>
          </w:tcPr>
          <w:p>
            <w:pPr>
              <w:ind w:firstLine="0" w:firstLineChars="0"/>
              <w:jc w:val="center"/>
              <w:rPr>
                <w:rFonts w:ascii="宋体" w:hAnsi="宋体"/>
                <w:color w:val="000000"/>
                <w:sz w:val="21"/>
                <w:szCs w:val="21"/>
              </w:rPr>
            </w:pPr>
            <w:r>
              <w:rPr>
                <w:rFonts w:ascii="宋体" w:hAnsi="宋体"/>
                <w:color w:val="000000"/>
                <w:sz w:val="21"/>
                <w:szCs w:val="21"/>
              </w:rPr>
              <w:t>4</w:t>
            </w:r>
          </w:p>
        </w:tc>
        <w:tc>
          <w:tcPr>
            <w:tcW w:w="4083" w:type="dxa"/>
            <w:vAlign w:val="center"/>
          </w:tcPr>
          <w:p>
            <w:pPr>
              <w:ind w:firstLine="0" w:firstLineChars="0"/>
              <w:jc w:val="center"/>
              <w:rPr>
                <w:rFonts w:ascii="宋体" w:hAnsi="宋体"/>
                <w:color w:val="000000"/>
                <w:sz w:val="21"/>
                <w:szCs w:val="21"/>
              </w:rPr>
            </w:pPr>
            <w:r>
              <w:rPr>
                <w:rFonts w:hint="eastAsia" w:ascii="宋体" w:hAnsi="宋体"/>
                <w:color w:val="000000"/>
                <w:sz w:val="21"/>
                <w:szCs w:val="21"/>
              </w:rPr>
              <w:t>道路</w:t>
            </w:r>
            <w:r>
              <w:rPr>
                <w:rFonts w:ascii="宋体" w:hAnsi="宋体"/>
                <w:color w:val="000000"/>
                <w:sz w:val="21"/>
                <w:szCs w:val="21"/>
              </w:rPr>
              <w:t>安全监督管理局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6" w:type="dxa"/>
            <w:vAlign w:val="center"/>
          </w:tcPr>
          <w:p>
            <w:pPr>
              <w:ind w:firstLine="0" w:firstLineChars="0"/>
              <w:jc w:val="center"/>
              <w:rPr>
                <w:rFonts w:ascii="宋体" w:hAnsi="宋体"/>
                <w:color w:val="000000"/>
                <w:sz w:val="21"/>
                <w:szCs w:val="21"/>
              </w:rPr>
            </w:pPr>
            <w:r>
              <w:rPr>
                <w:rFonts w:ascii="宋体" w:hAnsi="宋体"/>
                <w:color w:val="000000"/>
                <w:sz w:val="21"/>
                <w:szCs w:val="21"/>
              </w:rPr>
              <w:t>5</w:t>
            </w:r>
          </w:p>
        </w:tc>
        <w:tc>
          <w:tcPr>
            <w:tcW w:w="4083" w:type="dxa"/>
            <w:vAlign w:val="center"/>
          </w:tcPr>
          <w:p>
            <w:pPr>
              <w:ind w:firstLine="0" w:firstLineChars="0"/>
              <w:jc w:val="center"/>
              <w:rPr>
                <w:rFonts w:ascii="宋体" w:hAnsi="宋体"/>
                <w:color w:val="000000"/>
                <w:sz w:val="21"/>
                <w:szCs w:val="21"/>
              </w:rPr>
            </w:pPr>
            <w:r>
              <w:rPr>
                <w:rFonts w:ascii="宋体" w:hAnsi="宋体"/>
                <w:color w:val="000000"/>
                <w:sz w:val="21"/>
                <w:szCs w:val="21"/>
              </w:rPr>
              <w:t>生产安全事故统计分析局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816" w:type="dxa"/>
            <w:vAlign w:val="center"/>
          </w:tcPr>
          <w:p>
            <w:pPr>
              <w:ind w:firstLine="0" w:firstLineChars="0"/>
              <w:jc w:val="center"/>
              <w:rPr>
                <w:rFonts w:ascii="宋体" w:hAnsi="宋体"/>
                <w:color w:val="000000"/>
                <w:sz w:val="21"/>
                <w:szCs w:val="21"/>
              </w:rPr>
            </w:pPr>
            <w:r>
              <w:rPr>
                <w:rFonts w:ascii="宋体" w:hAnsi="宋体"/>
                <w:color w:val="000000"/>
                <w:sz w:val="21"/>
                <w:szCs w:val="21"/>
              </w:rPr>
              <w:t>6</w:t>
            </w:r>
          </w:p>
        </w:tc>
        <w:tc>
          <w:tcPr>
            <w:tcW w:w="4083" w:type="dxa"/>
            <w:vAlign w:val="center"/>
          </w:tcPr>
          <w:p>
            <w:pPr>
              <w:ind w:firstLine="0" w:firstLineChars="0"/>
              <w:jc w:val="center"/>
              <w:rPr>
                <w:rFonts w:ascii="宋体" w:hAnsi="宋体"/>
                <w:color w:val="000000"/>
                <w:sz w:val="21"/>
                <w:szCs w:val="21"/>
              </w:rPr>
            </w:pPr>
            <w:r>
              <w:rPr>
                <w:rFonts w:ascii="宋体" w:hAnsi="宋体"/>
                <w:color w:val="000000"/>
                <w:sz w:val="21"/>
                <w:szCs w:val="21"/>
              </w:rPr>
              <w:t>西安市消防总队</w:t>
            </w:r>
          </w:p>
        </w:tc>
      </w:tr>
    </w:tbl>
    <w:p>
      <w:pPr>
        <w:keepNext/>
        <w:keepLines/>
        <w:spacing w:beforeLines="100" w:afterLines="100"/>
        <w:ind w:firstLine="482"/>
        <w:jc w:val="left"/>
        <w:outlineLvl w:val="0"/>
        <w:rPr>
          <w:b/>
          <w:bCs/>
          <w:kern w:val="44"/>
          <w:szCs w:val="44"/>
        </w:rPr>
      </w:pPr>
      <w:bookmarkStart w:id="108" w:name="_Toc454306040"/>
      <w:r>
        <w:rPr>
          <w:rFonts w:hint="eastAsia"/>
          <w:b/>
          <w:bCs/>
          <w:kern w:val="44"/>
          <w:szCs w:val="44"/>
        </w:rPr>
        <w:t>七</w:t>
      </w:r>
      <w:r>
        <w:rPr>
          <w:b/>
          <w:bCs/>
          <w:kern w:val="44"/>
          <w:szCs w:val="44"/>
        </w:rPr>
        <w:t>、</w:t>
      </w:r>
      <w:r>
        <w:rPr>
          <w:rFonts w:hint="eastAsia"/>
          <w:b/>
          <w:bCs/>
          <w:kern w:val="44"/>
          <w:szCs w:val="44"/>
        </w:rPr>
        <w:t>预期效果</w:t>
      </w:r>
      <w:bookmarkEnd w:id="108"/>
    </w:p>
    <w:p>
      <w:pPr>
        <w:keepNext/>
        <w:keepLines/>
        <w:spacing w:beforeLines="100" w:afterLines="100"/>
        <w:ind w:left="562" w:firstLine="0" w:firstLineChars="0"/>
        <w:jc w:val="left"/>
        <w:outlineLvl w:val="0"/>
        <w:rPr>
          <w:rFonts w:ascii="宋体" w:hAnsi="宋体"/>
          <w:b/>
          <w:bCs/>
          <w:kern w:val="44"/>
          <w:sz w:val="21"/>
          <w:szCs w:val="21"/>
        </w:rPr>
      </w:pPr>
      <w:bookmarkStart w:id="109" w:name="_Toc454306041"/>
      <w:r>
        <w:rPr>
          <w:rFonts w:hint="eastAsia" w:ascii="宋体" w:hAnsi="宋体"/>
          <w:b/>
          <w:bCs/>
          <w:kern w:val="44"/>
          <w:sz w:val="21"/>
          <w:szCs w:val="21"/>
        </w:rPr>
        <w:t>（一</w:t>
      </w:r>
      <w:r>
        <w:rPr>
          <w:rFonts w:ascii="宋体" w:hAnsi="宋体"/>
          <w:b/>
          <w:bCs/>
          <w:kern w:val="44"/>
          <w:sz w:val="21"/>
          <w:szCs w:val="21"/>
        </w:rPr>
        <w:t>）</w:t>
      </w:r>
      <w:r>
        <w:rPr>
          <w:rFonts w:hint="eastAsia" w:ascii="宋体" w:hAnsi="宋体"/>
          <w:b/>
          <w:bCs/>
          <w:kern w:val="44"/>
          <w:sz w:val="21"/>
          <w:szCs w:val="21"/>
        </w:rPr>
        <w:t>培养模式与培养方案得到优化，课程体系更加科学</w:t>
      </w:r>
      <w:bookmarkEnd w:id="109"/>
    </w:p>
    <w:p>
      <w:pPr>
        <w:ind w:firstLine="420"/>
        <w:rPr>
          <w:rFonts w:ascii="宋体" w:hAnsi="宋体"/>
          <w:color w:val="000000"/>
          <w:sz w:val="21"/>
          <w:szCs w:val="21"/>
        </w:rPr>
      </w:pPr>
      <w:r>
        <w:rPr>
          <w:rFonts w:hint="eastAsia" w:ascii="宋体" w:hAnsi="宋体"/>
          <w:color w:val="000000"/>
          <w:sz w:val="21"/>
          <w:szCs w:val="21"/>
        </w:rPr>
        <w:t>结合学校实际，通过推进应用型人才培养模式改革，构建高等继续教育专业课程体系，使学分银行发挥课程纽带作用，形成独具特色的课程体系；提升核心课程影响力，推出</w:t>
      </w:r>
      <w:r>
        <w:rPr>
          <w:rFonts w:ascii="宋体" w:hAnsi="宋体"/>
          <w:color w:val="000000"/>
          <w:sz w:val="21"/>
          <w:szCs w:val="21"/>
        </w:rPr>
        <w:t>1-2</w:t>
      </w:r>
      <w:r>
        <w:rPr>
          <w:rFonts w:hint="eastAsia" w:ascii="宋体" w:hAnsi="宋体"/>
          <w:color w:val="000000"/>
          <w:sz w:val="21"/>
          <w:szCs w:val="21"/>
        </w:rPr>
        <w:t>门校级精品课程、网络课程，申报省级精品课程；突出人才的实践能力与综合素养，以适应新常态社会对公共管理人才的新需求。</w:t>
      </w:r>
    </w:p>
    <w:p>
      <w:pPr>
        <w:keepNext/>
        <w:keepLines/>
        <w:spacing w:beforeLines="100" w:afterLines="100"/>
        <w:ind w:left="562" w:firstLine="0" w:firstLineChars="0"/>
        <w:jc w:val="left"/>
        <w:outlineLvl w:val="0"/>
        <w:rPr>
          <w:rFonts w:ascii="宋体" w:hAnsi="宋体"/>
          <w:b/>
          <w:bCs/>
          <w:kern w:val="44"/>
          <w:sz w:val="21"/>
          <w:szCs w:val="21"/>
        </w:rPr>
      </w:pPr>
      <w:bookmarkStart w:id="110" w:name="_Toc454306042"/>
      <w:r>
        <w:rPr>
          <w:rFonts w:hint="eastAsia" w:ascii="宋体" w:hAnsi="宋体"/>
          <w:b/>
          <w:bCs/>
          <w:kern w:val="44"/>
          <w:sz w:val="21"/>
          <w:szCs w:val="21"/>
        </w:rPr>
        <w:t>（</w:t>
      </w:r>
      <w:r>
        <w:rPr>
          <w:rFonts w:ascii="宋体" w:hAnsi="宋体"/>
          <w:b/>
          <w:bCs/>
          <w:kern w:val="44"/>
          <w:sz w:val="21"/>
          <w:szCs w:val="21"/>
        </w:rPr>
        <w:t>二</w:t>
      </w:r>
      <w:r>
        <w:rPr>
          <w:rFonts w:hint="eastAsia" w:ascii="宋体" w:hAnsi="宋体"/>
          <w:b/>
          <w:bCs/>
          <w:kern w:val="44"/>
          <w:sz w:val="21"/>
          <w:szCs w:val="21"/>
        </w:rPr>
        <w:t>）师资结构更为合理，教师素质明显提升</w:t>
      </w:r>
      <w:bookmarkEnd w:id="110"/>
    </w:p>
    <w:p>
      <w:pPr>
        <w:ind w:firstLine="420"/>
        <w:rPr>
          <w:rFonts w:ascii="宋体" w:hAnsi="宋体"/>
          <w:color w:val="000000"/>
          <w:sz w:val="21"/>
          <w:szCs w:val="21"/>
        </w:rPr>
      </w:pPr>
      <w:r>
        <w:rPr>
          <w:rFonts w:hint="eastAsia" w:ascii="宋体" w:hAnsi="宋体"/>
          <w:color w:val="000000"/>
          <w:sz w:val="21"/>
          <w:szCs w:val="21"/>
        </w:rPr>
        <w:t>加大师资队伍建设力度，加强专业带头人和骨干教师的培养，优化师资队伍结构。根据我校实际情况，在今后几年中，将依据需要重点引进专业带头人和发展潜力突出的年轻硕士、博士，建设一支学术思想活跃、科研能力强、理论水平高的教学、科研队伍。</w:t>
      </w:r>
    </w:p>
    <w:p>
      <w:pPr>
        <w:keepNext/>
        <w:keepLines/>
        <w:spacing w:beforeLines="100" w:afterLines="100"/>
        <w:ind w:left="562" w:firstLine="0" w:firstLineChars="0"/>
        <w:jc w:val="left"/>
        <w:outlineLvl w:val="0"/>
        <w:rPr>
          <w:rFonts w:ascii="宋体" w:hAnsi="宋体"/>
          <w:b/>
          <w:bCs/>
          <w:kern w:val="44"/>
          <w:sz w:val="21"/>
          <w:szCs w:val="21"/>
        </w:rPr>
      </w:pPr>
      <w:bookmarkStart w:id="111" w:name="_Toc454306043"/>
      <w:r>
        <w:rPr>
          <w:rFonts w:hint="eastAsia" w:ascii="宋体" w:hAnsi="宋体"/>
          <w:b/>
          <w:bCs/>
          <w:kern w:val="44"/>
          <w:sz w:val="21"/>
          <w:szCs w:val="21"/>
        </w:rPr>
        <w:t>（</w:t>
      </w:r>
      <w:r>
        <w:rPr>
          <w:rFonts w:ascii="宋体" w:hAnsi="宋体"/>
          <w:b/>
          <w:bCs/>
          <w:kern w:val="44"/>
          <w:sz w:val="21"/>
          <w:szCs w:val="21"/>
        </w:rPr>
        <w:t>三）</w:t>
      </w:r>
      <w:r>
        <w:rPr>
          <w:rFonts w:hint="eastAsia" w:ascii="宋体" w:hAnsi="宋体"/>
          <w:b/>
          <w:bCs/>
          <w:kern w:val="44"/>
          <w:sz w:val="21"/>
          <w:szCs w:val="21"/>
        </w:rPr>
        <w:t>教改立项如期进行，改革成果得以推广</w:t>
      </w:r>
      <w:bookmarkEnd w:id="111"/>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通过深入开展教学改革，注重教学改革项目的申报、推进与应用。积极推进各级教学研究课题申报与开展，围绕特色专业建设进行资源建设与开发，探索特色专业建设教学改革研究模式，促进教学改革与教学实践的双向互补。在线选修课教学平台与考试平台能够在专业教育教学过程中取得实际成效，提升教育教学质量。</w:t>
      </w:r>
    </w:p>
    <w:p>
      <w:pPr>
        <w:keepNext/>
        <w:keepLines/>
        <w:spacing w:beforeLines="100" w:afterLines="100"/>
        <w:ind w:left="562" w:firstLine="0" w:firstLineChars="0"/>
        <w:jc w:val="left"/>
        <w:outlineLvl w:val="0"/>
        <w:rPr>
          <w:rFonts w:ascii="宋体" w:hAnsi="宋体"/>
          <w:b/>
          <w:bCs/>
          <w:kern w:val="44"/>
          <w:sz w:val="21"/>
          <w:szCs w:val="21"/>
        </w:rPr>
      </w:pPr>
      <w:bookmarkStart w:id="112" w:name="_Toc454306044"/>
      <w:r>
        <w:rPr>
          <w:rFonts w:hint="eastAsia" w:ascii="宋体" w:hAnsi="宋体"/>
          <w:b/>
          <w:bCs/>
          <w:kern w:val="44"/>
          <w:sz w:val="21"/>
          <w:szCs w:val="21"/>
        </w:rPr>
        <w:t>（四）人才培养成效显著，社会效益明显</w:t>
      </w:r>
      <w:bookmarkEnd w:id="112"/>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结合成人教育特点，开展丰富多样的综合性专业活动，提升学习者综合行政思维、知识、能力等素质。完善质量评价体系，注重个体与社会的多元评价，客观科学地衡量人才培养质量。利用评价体系，强化专业育人效果，提升社会效益。</w:t>
      </w:r>
    </w:p>
    <w:p>
      <w:pPr>
        <w:keepNext/>
        <w:keepLines/>
        <w:spacing w:beforeLines="100" w:afterLines="100"/>
        <w:ind w:firstLine="482"/>
        <w:jc w:val="left"/>
        <w:outlineLvl w:val="0"/>
        <w:rPr>
          <w:b/>
          <w:bCs/>
          <w:kern w:val="44"/>
          <w:szCs w:val="44"/>
        </w:rPr>
      </w:pPr>
      <w:bookmarkStart w:id="113" w:name="_Toc454306045"/>
      <w:r>
        <w:rPr>
          <w:rFonts w:hint="eastAsia"/>
          <w:b/>
          <w:bCs/>
          <w:kern w:val="44"/>
          <w:szCs w:val="44"/>
        </w:rPr>
        <w:t>八、保障措施</w:t>
      </w:r>
      <w:bookmarkEnd w:id="113"/>
    </w:p>
    <w:p>
      <w:pPr>
        <w:keepNext/>
        <w:keepLines/>
        <w:spacing w:beforeLines="100" w:afterLines="100"/>
        <w:ind w:firstLine="422"/>
        <w:jc w:val="left"/>
        <w:outlineLvl w:val="0"/>
        <w:rPr>
          <w:rFonts w:ascii="宋体" w:hAnsi="宋体"/>
          <w:b/>
          <w:bCs/>
          <w:kern w:val="44"/>
          <w:sz w:val="21"/>
          <w:szCs w:val="21"/>
        </w:rPr>
      </w:pPr>
      <w:bookmarkStart w:id="114" w:name="_Toc454306046"/>
      <w:r>
        <w:rPr>
          <w:rFonts w:hint="eastAsia" w:ascii="宋体" w:hAnsi="宋体"/>
          <w:b/>
          <w:bCs/>
          <w:kern w:val="44"/>
          <w:sz w:val="21"/>
          <w:szCs w:val="21"/>
        </w:rPr>
        <w:t>（一）健全组织领导，理顺机制</w:t>
      </w:r>
      <w:bookmarkEnd w:id="114"/>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学校成立以主管教学副校长为指导，教学部主任为组长，专业骨干教师为主要成员的工作领导小组，全面负责专业建设的过程管理，强化专业建设的组织与协调。聘请校内和校外专家组成专业建设指导委员会，统领项目的决策运行。由教研室主任和骨干教师成立建设工作执行小组，负责方案的落实工作。同时，定期召开建设工作调度会，及时协调解决建设进程中遇到的困难与问题，确保建设任务按计划完成。</w:t>
      </w:r>
    </w:p>
    <w:p>
      <w:pPr>
        <w:keepNext/>
        <w:keepLines/>
        <w:spacing w:beforeLines="100" w:afterLines="100"/>
        <w:ind w:firstLine="422"/>
        <w:jc w:val="left"/>
        <w:outlineLvl w:val="0"/>
        <w:rPr>
          <w:rFonts w:ascii="宋体" w:hAnsi="宋体"/>
          <w:b/>
          <w:bCs/>
          <w:kern w:val="44"/>
          <w:sz w:val="21"/>
          <w:szCs w:val="21"/>
        </w:rPr>
      </w:pPr>
      <w:bookmarkStart w:id="115" w:name="_Toc454306047"/>
      <w:r>
        <w:rPr>
          <w:rFonts w:hint="eastAsia" w:ascii="宋体" w:hAnsi="宋体"/>
          <w:b/>
          <w:bCs/>
          <w:kern w:val="44"/>
          <w:sz w:val="21"/>
          <w:szCs w:val="21"/>
        </w:rPr>
        <w:t>（二）着眼团队建设，确保执行</w:t>
      </w:r>
      <w:bookmarkEnd w:id="115"/>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依托专业建设委员会，采取多种措施加强团队建设，确保执行的科学化、系统化和成效化。一是通过培养专业带头人和骨干教师，优化专业教学团队规模，提升专业团队教学水平；二是定期对团队成员进行管理、运行和业务能力培训，挖掘内部潜力，提升团队实力，增强完成建设任务的能力；三是精选、优选聘用专业兼职教师，将兼职教师纳入建设团队，使其承担相关课程建设、教材开发、校企合作等建设任务，通过科学的考评机制充分调动兼职教师的积极性，使其完成所承担的建设任务。</w:t>
      </w:r>
    </w:p>
    <w:p>
      <w:pPr>
        <w:keepNext/>
        <w:keepLines/>
        <w:spacing w:beforeLines="100" w:afterLines="100"/>
        <w:ind w:firstLine="422"/>
        <w:jc w:val="left"/>
        <w:outlineLvl w:val="0"/>
        <w:rPr>
          <w:rFonts w:ascii="宋体" w:hAnsi="宋体"/>
          <w:b/>
          <w:bCs/>
          <w:kern w:val="44"/>
          <w:sz w:val="21"/>
          <w:szCs w:val="21"/>
        </w:rPr>
      </w:pPr>
      <w:bookmarkStart w:id="116" w:name="_Toc454306048"/>
      <w:r>
        <w:rPr>
          <w:rFonts w:hint="eastAsia" w:ascii="宋体" w:hAnsi="宋体"/>
          <w:b/>
          <w:bCs/>
          <w:kern w:val="44"/>
          <w:sz w:val="21"/>
          <w:szCs w:val="21"/>
        </w:rPr>
        <w:t>（三）分解建设任务，落实责任</w:t>
      </w:r>
      <w:bookmarkEnd w:id="116"/>
    </w:p>
    <w:p>
      <w:pPr>
        <w:ind w:firstLine="420"/>
        <w:rPr>
          <w:rFonts w:ascii="宋体" w:hAnsi="宋体"/>
          <w:color w:val="000000"/>
          <w:sz w:val="21"/>
          <w:szCs w:val="21"/>
        </w:rPr>
      </w:pPr>
      <w:r>
        <w:rPr>
          <w:rFonts w:hint="eastAsia" w:ascii="宋体" w:hAnsi="宋体"/>
          <w:color w:val="000000"/>
          <w:sz w:val="21"/>
          <w:szCs w:val="21"/>
        </w:rPr>
        <w:t>对专业建设实行任务细分管理，由专业建设团队负责任务分工，</w:t>
      </w:r>
      <w:r>
        <w:rPr>
          <w:rFonts w:ascii="宋体" w:hAnsi="宋体"/>
          <w:color w:val="000000"/>
          <w:sz w:val="21"/>
          <w:szCs w:val="21"/>
        </w:rPr>
        <w:t>明确成员</w:t>
      </w:r>
      <w:r>
        <w:rPr>
          <w:rFonts w:hint="eastAsia" w:ascii="宋体" w:hAnsi="宋体"/>
          <w:color w:val="000000"/>
          <w:sz w:val="21"/>
          <w:szCs w:val="21"/>
        </w:rPr>
        <w:t>责任，全面提升建设工作的科学管理水平。在专业建设管理过程中，分解项目任务，厘清各自责任，做到分工明确，确保项目按时保质完成。</w:t>
      </w:r>
    </w:p>
    <w:p>
      <w:pPr>
        <w:keepNext/>
        <w:keepLines/>
        <w:spacing w:beforeLines="100" w:afterLines="100"/>
        <w:ind w:firstLine="422"/>
        <w:jc w:val="left"/>
        <w:outlineLvl w:val="0"/>
        <w:rPr>
          <w:rFonts w:ascii="宋体" w:hAnsi="宋体"/>
          <w:b/>
          <w:bCs/>
          <w:kern w:val="44"/>
          <w:sz w:val="21"/>
          <w:szCs w:val="21"/>
        </w:rPr>
      </w:pPr>
      <w:bookmarkStart w:id="117" w:name="_Toc454306049"/>
      <w:r>
        <w:rPr>
          <w:rFonts w:hint="eastAsia" w:ascii="宋体" w:hAnsi="宋体"/>
          <w:b/>
          <w:bCs/>
          <w:kern w:val="44"/>
          <w:sz w:val="21"/>
          <w:szCs w:val="21"/>
        </w:rPr>
        <w:t>（四）加强经费管理，确保物质支持</w:t>
      </w:r>
      <w:bookmarkEnd w:id="117"/>
    </w:p>
    <w:p>
      <w:pPr>
        <w:keepNext w:val="0"/>
        <w:keepLines w:val="0"/>
        <w:pageBreakBefore w:val="0"/>
        <w:widowControl w:val="0"/>
        <w:kinsoku/>
        <w:wordWrap/>
        <w:overflowPunct/>
        <w:topLinePunct w:val="0"/>
        <w:autoSpaceDE/>
        <w:autoSpaceDN/>
        <w:bidi w:val="0"/>
        <w:spacing w:line="360" w:lineRule="auto"/>
        <w:ind w:left="0" w:leftChars="0" w:right="0" w:rightChars="0" w:firstLine="420" w:firstLineChars="200"/>
        <w:jc w:val="both"/>
        <w:textAlignment w:val="auto"/>
        <w:outlineLvl w:val="9"/>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按照学校工作计划，将特色专业建设工作纳入专项教学改革活动，确保资金投入，加强特色专业建设经费管理，确保专款专用，实行专业建设负责人和建设监管负责人相结合的经费使用、经费报销签字制度。实行建设的年度报告制度，对建设年度进展情况、年度统计、年度资金预决算、投资完成情况及有关资料汇总形成年度总结报告，及时上报建设领导小组。</w:t>
      </w: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ind w:firstLine="420"/>
        <w:rPr>
          <w:rFonts w:ascii="宋体" w:hAnsi="宋体"/>
          <w:sz w:val="21"/>
          <w:szCs w:val="21"/>
        </w:rPr>
      </w:pPr>
    </w:p>
    <w:p>
      <w:pPr>
        <w:autoSpaceDE w:val="0"/>
        <w:autoSpaceDN w:val="0"/>
        <w:adjustRightInd w:val="0"/>
        <w:ind w:right="-19" w:rightChars="-8" w:firstLine="0" w:firstLineChars="0"/>
        <w:jc w:val="center"/>
        <w:rPr>
          <w:rFonts w:ascii="宋体" w:hAnsi="宋体"/>
          <w:b/>
          <w:color w:val="000000"/>
          <w:kern w:val="0"/>
          <w:sz w:val="32"/>
          <w:szCs w:val="32"/>
        </w:rPr>
      </w:pPr>
      <w:r>
        <w:rPr>
          <w:rFonts w:hint="eastAsia" w:ascii="宋体" w:hAnsi="宋体"/>
          <w:b/>
          <w:color w:val="000000"/>
          <w:kern w:val="0"/>
          <w:sz w:val="32"/>
          <w:szCs w:val="32"/>
        </w:rPr>
        <w:t>资源环境与安全大类安全类</w:t>
      </w:r>
    </w:p>
    <w:p>
      <w:pPr>
        <w:autoSpaceDE w:val="0"/>
        <w:autoSpaceDN w:val="0"/>
        <w:adjustRightInd w:val="0"/>
        <w:ind w:right="-19" w:rightChars="-8" w:firstLine="0" w:firstLineChars="0"/>
        <w:jc w:val="center"/>
        <w:rPr>
          <w:rFonts w:ascii="宋体" w:hAnsi="宋体" w:cs="汉鼎简仿宋"/>
          <w:b/>
          <w:color w:val="000000"/>
          <w:kern w:val="0"/>
          <w:sz w:val="32"/>
          <w:szCs w:val="32"/>
        </w:rPr>
      </w:pPr>
      <w:r>
        <w:rPr>
          <w:rFonts w:ascii="宋体" w:hAnsi="宋体"/>
          <w:b/>
          <w:color w:val="000000"/>
          <w:kern w:val="0"/>
          <w:sz w:val="32"/>
          <w:szCs w:val="32"/>
        </w:rPr>
        <w:t>2016</w:t>
      </w:r>
      <w:r>
        <w:rPr>
          <w:rFonts w:hint="eastAsia" w:ascii="宋体" w:hAnsi="宋体" w:cs="汉鼎简仿宋"/>
          <w:b/>
          <w:color w:val="000000"/>
          <w:kern w:val="0"/>
          <w:sz w:val="32"/>
          <w:szCs w:val="32"/>
        </w:rPr>
        <w:t>年秋季新开专业《安全技术与管理》（专科）</w:t>
      </w:r>
    </w:p>
    <w:p>
      <w:pPr>
        <w:autoSpaceDE w:val="0"/>
        <w:autoSpaceDN w:val="0"/>
        <w:adjustRightInd w:val="0"/>
        <w:spacing w:afterLines="50"/>
        <w:ind w:right="-19" w:rightChars="-8" w:firstLine="0" w:firstLineChars="0"/>
        <w:jc w:val="center"/>
        <w:rPr>
          <w:rFonts w:ascii="宋体" w:hAnsi="宋体" w:cs="汉鼎简仿宋"/>
          <w:b/>
          <w:color w:val="000000"/>
          <w:kern w:val="0"/>
          <w:sz w:val="32"/>
          <w:szCs w:val="32"/>
        </w:rPr>
      </w:pPr>
      <w:r>
        <w:rPr>
          <w:rFonts w:hint="eastAsia" w:ascii="宋体" w:hAnsi="宋体" w:cs="汉鼎简仿宋"/>
          <w:b/>
          <w:color w:val="000000"/>
          <w:kern w:val="0"/>
          <w:sz w:val="32"/>
          <w:szCs w:val="32"/>
        </w:rPr>
        <w:t>统设-非统设课程细目表</w:t>
      </w:r>
    </w:p>
    <w:tbl>
      <w:tblPr>
        <w:tblStyle w:val="16"/>
        <w:tblW w:w="10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791"/>
        <w:gridCol w:w="724"/>
        <w:gridCol w:w="2757"/>
        <w:gridCol w:w="727"/>
        <w:gridCol w:w="1018"/>
        <w:gridCol w:w="869"/>
        <w:gridCol w:w="978"/>
        <w:gridCol w:w="1390"/>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662" w:type="dxa"/>
            <w:vAlign w:val="center"/>
          </w:tcPr>
          <w:p>
            <w:pPr>
              <w:autoSpaceDE w:val="0"/>
              <w:autoSpaceDN w:val="0"/>
              <w:adjustRightInd w:val="0"/>
              <w:ind w:firstLine="0" w:firstLineChars="0"/>
              <w:jc w:val="center"/>
              <w:rPr>
                <w:rFonts w:ascii="宋体"/>
                <w:b/>
                <w:color w:val="000000"/>
                <w:kern w:val="0"/>
              </w:rPr>
            </w:pPr>
            <w:r>
              <w:rPr>
                <w:rFonts w:hint="eastAsia" w:ascii="宋体" w:hAnsi="宋体" w:cs="汉鼎简仿宋"/>
                <w:b/>
                <w:color w:val="000000"/>
                <w:kern w:val="0"/>
              </w:rPr>
              <w:t>序号</w:t>
            </w:r>
          </w:p>
        </w:tc>
        <w:tc>
          <w:tcPr>
            <w:tcW w:w="791" w:type="dxa"/>
            <w:vAlign w:val="center"/>
          </w:tcPr>
          <w:p>
            <w:pPr>
              <w:autoSpaceDE w:val="0"/>
              <w:autoSpaceDN w:val="0"/>
              <w:adjustRightInd w:val="0"/>
              <w:ind w:firstLine="0" w:firstLineChars="0"/>
              <w:jc w:val="center"/>
              <w:rPr>
                <w:rFonts w:ascii="宋体"/>
                <w:b/>
                <w:color w:val="000000"/>
                <w:kern w:val="0"/>
              </w:rPr>
            </w:pPr>
            <w:r>
              <w:rPr>
                <w:rFonts w:hint="eastAsia" w:ascii="宋体" w:hAnsi="宋体" w:cs="汉鼎简仿宋"/>
                <w:b/>
                <w:color w:val="000000"/>
                <w:kern w:val="0"/>
                <w:position w:val="-2"/>
              </w:rPr>
              <w:t>专业</w:t>
            </w:r>
          </w:p>
          <w:p>
            <w:pPr>
              <w:autoSpaceDE w:val="0"/>
              <w:autoSpaceDN w:val="0"/>
              <w:adjustRightInd w:val="0"/>
              <w:ind w:firstLine="0" w:firstLineChars="0"/>
              <w:jc w:val="center"/>
              <w:rPr>
                <w:rFonts w:ascii="宋体"/>
                <w:b/>
                <w:color w:val="000000"/>
                <w:kern w:val="0"/>
              </w:rPr>
            </w:pPr>
            <w:r>
              <w:rPr>
                <w:rFonts w:hint="eastAsia" w:ascii="宋体" w:hAnsi="宋体" w:cs="汉鼎简仿宋"/>
                <w:b/>
                <w:color w:val="000000"/>
                <w:kern w:val="0"/>
                <w:position w:val="-2"/>
              </w:rPr>
              <w:t>层次</w:t>
            </w:r>
          </w:p>
        </w:tc>
        <w:tc>
          <w:tcPr>
            <w:tcW w:w="724" w:type="dxa"/>
            <w:vAlign w:val="center"/>
          </w:tcPr>
          <w:p>
            <w:pPr>
              <w:autoSpaceDE w:val="0"/>
              <w:autoSpaceDN w:val="0"/>
              <w:adjustRightInd w:val="0"/>
              <w:ind w:firstLine="0" w:firstLineChars="0"/>
              <w:jc w:val="center"/>
              <w:rPr>
                <w:rFonts w:ascii="宋体"/>
                <w:b/>
                <w:color w:val="000000"/>
                <w:kern w:val="0"/>
              </w:rPr>
            </w:pPr>
            <w:r>
              <w:rPr>
                <w:rFonts w:hint="eastAsia" w:ascii="宋体" w:hAnsi="宋体" w:cs="汉鼎简仿宋"/>
                <w:b/>
                <w:color w:val="000000"/>
                <w:kern w:val="0"/>
              </w:rPr>
              <w:t>专业名称</w:t>
            </w:r>
          </w:p>
        </w:tc>
        <w:tc>
          <w:tcPr>
            <w:tcW w:w="2757" w:type="dxa"/>
            <w:vAlign w:val="center"/>
          </w:tcPr>
          <w:p>
            <w:pPr>
              <w:autoSpaceDE w:val="0"/>
              <w:autoSpaceDN w:val="0"/>
              <w:adjustRightInd w:val="0"/>
              <w:ind w:firstLine="0" w:firstLineChars="0"/>
              <w:jc w:val="center"/>
              <w:rPr>
                <w:rFonts w:ascii="宋体"/>
                <w:b/>
                <w:color w:val="000000"/>
                <w:kern w:val="0"/>
              </w:rPr>
            </w:pPr>
            <w:r>
              <w:rPr>
                <w:rFonts w:hint="eastAsia" w:ascii="宋体" w:hAnsi="宋体" w:cs="汉鼎简仿宋"/>
                <w:b/>
                <w:color w:val="000000"/>
                <w:kern w:val="0"/>
              </w:rPr>
              <w:t>统设必修课程</w:t>
            </w:r>
          </w:p>
        </w:tc>
        <w:tc>
          <w:tcPr>
            <w:tcW w:w="727" w:type="dxa"/>
            <w:vAlign w:val="center"/>
          </w:tcPr>
          <w:p>
            <w:pPr>
              <w:autoSpaceDE w:val="0"/>
              <w:autoSpaceDN w:val="0"/>
              <w:adjustRightInd w:val="0"/>
              <w:ind w:firstLine="0" w:firstLineChars="0"/>
              <w:jc w:val="center"/>
              <w:rPr>
                <w:rFonts w:ascii="宋体"/>
                <w:b/>
                <w:color w:val="000000"/>
                <w:kern w:val="0"/>
              </w:rPr>
            </w:pPr>
            <w:r>
              <w:rPr>
                <w:rFonts w:hint="eastAsia" w:ascii="宋体" w:hAnsi="宋体" w:cs="汉鼎简仿宋"/>
                <w:b/>
                <w:color w:val="000000"/>
                <w:kern w:val="0"/>
              </w:rPr>
              <w:t>课程学分</w:t>
            </w:r>
          </w:p>
        </w:tc>
        <w:tc>
          <w:tcPr>
            <w:tcW w:w="1018" w:type="dxa"/>
            <w:vAlign w:val="center"/>
          </w:tcPr>
          <w:p>
            <w:pPr>
              <w:autoSpaceDE w:val="0"/>
              <w:autoSpaceDN w:val="0"/>
              <w:adjustRightInd w:val="0"/>
              <w:ind w:firstLine="0" w:firstLineChars="0"/>
              <w:jc w:val="center"/>
              <w:rPr>
                <w:rFonts w:ascii="宋体"/>
                <w:b/>
                <w:color w:val="000000"/>
                <w:kern w:val="0"/>
              </w:rPr>
            </w:pPr>
            <w:r>
              <w:rPr>
                <w:rFonts w:hint="eastAsia" w:ascii="宋体" w:hAnsi="宋体" w:cs="汉鼎简仿宋"/>
                <w:b/>
                <w:color w:val="000000"/>
                <w:kern w:val="0"/>
              </w:rPr>
              <w:t>建议开设学期</w:t>
            </w:r>
          </w:p>
        </w:tc>
        <w:tc>
          <w:tcPr>
            <w:tcW w:w="869" w:type="dxa"/>
            <w:vAlign w:val="center"/>
          </w:tcPr>
          <w:p>
            <w:pPr>
              <w:autoSpaceDE w:val="0"/>
              <w:autoSpaceDN w:val="0"/>
              <w:adjustRightInd w:val="0"/>
              <w:ind w:firstLine="0" w:firstLineChars="0"/>
              <w:jc w:val="center"/>
              <w:rPr>
                <w:rFonts w:ascii="宋体"/>
                <w:b/>
                <w:color w:val="000000"/>
                <w:kern w:val="0"/>
              </w:rPr>
            </w:pPr>
            <w:r>
              <w:rPr>
                <w:rFonts w:hint="eastAsia" w:ascii="宋体" w:hAnsi="宋体" w:cs="汉鼎简仿宋"/>
                <w:b/>
                <w:color w:val="000000"/>
                <w:kern w:val="0"/>
              </w:rPr>
              <w:t>资源</w:t>
            </w:r>
          </w:p>
        </w:tc>
        <w:tc>
          <w:tcPr>
            <w:tcW w:w="978" w:type="dxa"/>
            <w:vAlign w:val="center"/>
          </w:tcPr>
          <w:p>
            <w:pPr>
              <w:autoSpaceDE w:val="0"/>
              <w:autoSpaceDN w:val="0"/>
              <w:adjustRightInd w:val="0"/>
              <w:ind w:firstLine="0" w:firstLineChars="0"/>
              <w:jc w:val="center"/>
              <w:rPr>
                <w:rFonts w:ascii="宋体"/>
                <w:b/>
                <w:color w:val="000000"/>
                <w:kern w:val="0"/>
              </w:rPr>
            </w:pPr>
            <w:r>
              <w:rPr>
                <w:rFonts w:hint="eastAsia" w:ascii="宋体" w:hAnsi="宋体" w:cs="汉鼎简仿宋"/>
                <w:b/>
                <w:color w:val="000000"/>
                <w:kern w:val="0"/>
              </w:rPr>
              <w:t>考试</w:t>
            </w:r>
          </w:p>
        </w:tc>
        <w:tc>
          <w:tcPr>
            <w:tcW w:w="1390" w:type="dxa"/>
            <w:vAlign w:val="center"/>
          </w:tcPr>
          <w:p>
            <w:pPr>
              <w:tabs>
                <w:tab w:val="left" w:pos="1174"/>
              </w:tabs>
              <w:autoSpaceDE w:val="0"/>
              <w:autoSpaceDN w:val="0"/>
              <w:adjustRightInd w:val="0"/>
              <w:ind w:firstLine="0" w:firstLineChars="0"/>
              <w:jc w:val="center"/>
              <w:rPr>
                <w:rFonts w:ascii="宋体"/>
                <w:b/>
                <w:color w:val="000000"/>
                <w:kern w:val="0"/>
              </w:rPr>
            </w:pPr>
            <w:r>
              <w:rPr>
                <w:rFonts w:hint="eastAsia" w:ascii="宋体" w:hAnsi="宋体"/>
                <w:b/>
                <w:color w:val="000000"/>
                <w:kern w:val="0"/>
              </w:rPr>
              <w:t>主持教师</w:t>
            </w:r>
          </w:p>
        </w:tc>
        <w:tc>
          <w:tcPr>
            <w:tcW w:w="1026" w:type="dxa"/>
            <w:vAlign w:val="center"/>
          </w:tcPr>
          <w:p>
            <w:pPr>
              <w:tabs>
                <w:tab w:val="left" w:pos="1894"/>
              </w:tabs>
              <w:autoSpaceDE w:val="0"/>
              <w:autoSpaceDN w:val="0"/>
              <w:adjustRightInd w:val="0"/>
              <w:ind w:firstLine="0" w:firstLineChars="0"/>
              <w:jc w:val="center"/>
              <w:rPr>
                <w:rFonts w:ascii="宋体"/>
                <w:b/>
                <w:color w:val="000000"/>
                <w:kern w:val="0"/>
              </w:rPr>
            </w:pPr>
            <w:r>
              <w:rPr>
                <w:rFonts w:hint="eastAsia" w:ascii="宋体" w:hAnsi="宋体"/>
                <w:b/>
                <w:color w:val="000000"/>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restart"/>
            <w:vAlign w:val="center"/>
          </w:tcPr>
          <w:p>
            <w:pPr>
              <w:ind w:firstLine="0" w:firstLineChars="0"/>
              <w:jc w:val="left"/>
              <w:rPr>
                <w:rFonts w:ascii="宋体" w:hAnsi="宋体"/>
                <w:color w:val="000000"/>
                <w:kern w:val="0"/>
                <w:position w:val="-2"/>
                <w:sz w:val="18"/>
                <w:szCs w:val="18"/>
              </w:rPr>
            </w:pPr>
            <w:r>
              <w:rPr>
                <w:rFonts w:hint="eastAsia" w:ascii="宋体" w:hAnsi="宋体"/>
                <w:color w:val="000000"/>
                <w:kern w:val="0"/>
                <w:position w:val="-2"/>
                <w:sz w:val="18"/>
                <w:szCs w:val="18"/>
              </w:rPr>
              <w:t>专科</w:t>
            </w:r>
          </w:p>
        </w:tc>
        <w:tc>
          <w:tcPr>
            <w:tcW w:w="724" w:type="dxa"/>
            <w:vMerge w:val="restart"/>
            <w:vAlign w:val="center"/>
          </w:tcPr>
          <w:p>
            <w:pPr>
              <w:autoSpaceDE w:val="0"/>
              <w:autoSpaceDN w:val="0"/>
              <w:adjustRightInd w:val="0"/>
              <w:ind w:firstLine="0" w:firstLineChars="0"/>
              <w:rPr>
                <w:rFonts w:ascii="宋体" w:hAnsi="宋体"/>
                <w:color w:val="000000"/>
                <w:kern w:val="0"/>
                <w:sz w:val="18"/>
                <w:szCs w:val="18"/>
              </w:rPr>
            </w:pPr>
            <w:r>
              <w:rPr>
                <w:rFonts w:hint="eastAsia" w:ascii="宋体" w:hAnsi="宋体"/>
                <w:color w:val="000000"/>
                <w:kern w:val="0"/>
                <w:sz w:val="18"/>
                <w:szCs w:val="18"/>
              </w:rPr>
              <w:t>安全技术与管理</w:t>
            </w: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中国特色社会主义理论体系概论</w:t>
            </w:r>
          </w:p>
        </w:tc>
        <w:tc>
          <w:tcPr>
            <w:tcW w:w="727" w:type="dxa"/>
            <w:vAlign w:val="center"/>
          </w:tcPr>
          <w:p>
            <w:pPr>
              <w:autoSpaceDE w:val="0"/>
              <w:autoSpaceDN w:val="0"/>
              <w:adjustRightInd w:val="0"/>
              <w:ind w:firstLine="0" w:firstLineChars="0"/>
              <w:jc w:val="center"/>
              <w:rPr>
                <w:rFonts w:ascii="宋体" w:hAnsi="宋体"/>
                <w:color w:val="000000"/>
                <w:kern w:val="0"/>
                <w:sz w:val="18"/>
                <w:szCs w:val="18"/>
              </w:rPr>
            </w:pPr>
            <w:r>
              <w:rPr>
                <w:rFonts w:ascii="宋体" w:hAnsi="宋体"/>
                <w:color w:val="000000"/>
                <w:kern w:val="0"/>
                <w:sz w:val="18"/>
                <w:szCs w:val="18"/>
              </w:rPr>
              <w:t>2</w:t>
            </w:r>
          </w:p>
        </w:tc>
        <w:tc>
          <w:tcPr>
            <w:tcW w:w="1018" w:type="dxa"/>
            <w:vAlign w:val="center"/>
          </w:tcPr>
          <w:p>
            <w:pPr>
              <w:ind w:firstLine="0" w:firstLineChars="0"/>
              <w:jc w:val="center"/>
              <w:rPr>
                <w:rFonts w:ascii="宋体" w:hAnsi="宋体"/>
                <w:color w:val="000000"/>
                <w:sz w:val="18"/>
                <w:szCs w:val="18"/>
              </w:rPr>
            </w:pPr>
            <w:r>
              <w:rPr>
                <w:rFonts w:ascii="宋体" w:hAnsi="宋体"/>
                <w:color w:val="000000"/>
                <w:sz w:val="18"/>
                <w:szCs w:val="18"/>
              </w:rPr>
              <w:t>1</w:t>
            </w:r>
          </w:p>
        </w:tc>
        <w:tc>
          <w:tcPr>
            <w:tcW w:w="869"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978"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张宇</w:t>
            </w:r>
          </w:p>
        </w:tc>
        <w:tc>
          <w:tcPr>
            <w:tcW w:w="1026" w:type="dxa"/>
            <w:vMerge w:val="restart"/>
            <w:vAlign w:val="center"/>
          </w:tcPr>
          <w:p>
            <w:pPr>
              <w:ind w:firstLine="0" w:firstLineChars="0"/>
              <w:jc w:val="center"/>
              <w:rPr>
                <w:rFonts w:ascii="宋体" w:hAnsi="宋体" w:cs="宋体"/>
                <w:color w:val="000000"/>
                <w:kern w:val="1"/>
                <w:sz w:val="21"/>
                <w:szCs w:val="21"/>
              </w:rPr>
            </w:pPr>
            <w:r>
              <w:rPr>
                <w:rFonts w:hint="eastAsia" w:ascii="宋体" w:hAnsi="宋体" w:cs="宋体"/>
                <w:color w:val="000000"/>
                <w:kern w:val="1"/>
                <w:sz w:val="21"/>
                <w:szCs w:val="21"/>
              </w:rPr>
              <w:t>统设</w:t>
            </w:r>
          </w:p>
          <w:p>
            <w:pPr>
              <w:ind w:firstLine="0" w:firstLineChars="0"/>
              <w:jc w:val="center"/>
              <w:rPr>
                <w:rFonts w:ascii="宋体" w:hAnsi="宋体"/>
                <w:color w:val="000000"/>
                <w:kern w:val="0"/>
                <w:sz w:val="21"/>
                <w:szCs w:val="21"/>
              </w:rPr>
            </w:pPr>
            <w:r>
              <w:rPr>
                <w:rFonts w:hint="eastAsia" w:ascii="宋体" w:hAnsi="宋体" w:cs="宋体"/>
                <w:color w:val="000000"/>
                <w:kern w:val="1"/>
                <w:sz w:val="21"/>
                <w:szCs w:val="21"/>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国家开放大学学习指南</w:t>
            </w:r>
          </w:p>
        </w:tc>
        <w:tc>
          <w:tcPr>
            <w:tcW w:w="727" w:type="dxa"/>
            <w:vAlign w:val="center"/>
          </w:tcPr>
          <w:p>
            <w:pPr>
              <w:autoSpaceDE w:val="0"/>
              <w:autoSpaceDN w:val="0"/>
              <w:adjustRightInd w:val="0"/>
              <w:ind w:firstLine="0" w:firstLineChars="0"/>
              <w:jc w:val="center"/>
              <w:rPr>
                <w:rFonts w:ascii="宋体" w:hAnsi="宋体"/>
                <w:color w:val="000000"/>
                <w:kern w:val="0"/>
                <w:sz w:val="18"/>
                <w:szCs w:val="18"/>
              </w:rPr>
            </w:pPr>
            <w:r>
              <w:rPr>
                <w:rFonts w:ascii="宋体" w:hAnsi="宋体"/>
                <w:color w:val="000000"/>
                <w:kern w:val="0"/>
                <w:sz w:val="18"/>
                <w:szCs w:val="18"/>
              </w:rPr>
              <w:t>1</w:t>
            </w:r>
          </w:p>
        </w:tc>
        <w:tc>
          <w:tcPr>
            <w:tcW w:w="1018" w:type="dxa"/>
            <w:vAlign w:val="center"/>
          </w:tcPr>
          <w:p>
            <w:pPr>
              <w:ind w:firstLine="0" w:firstLineChars="0"/>
              <w:jc w:val="center"/>
              <w:rPr>
                <w:rFonts w:ascii="宋体" w:hAnsi="宋体"/>
                <w:color w:val="000000"/>
                <w:sz w:val="18"/>
                <w:szCs w:val="18"/>
              </w:rPr>
            </w:pPr>
            <w:r>
              <w:rPr>
                <w:rFonts w:ascii="宋体" w:hAnsi="宋体"/>
                <w:color w:val="000000"/>
                <w:sz w:val="18"/>
                <w:szCs w:val="18"/>
              </w:rPr>
              <w:t>1</w:t>
            </w:r>
          </w:p>
        </w:tc>
        <w:tc>
          <w:tcPr>
            <w:tcW w:w="869"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978"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宋锋</w:t>
            </w:r>
          </w:p>
        </w:tc>
        <w:tc>
          <w:tcPr>
            <w:tcW w:w="1026" w:type="dxa"/>
            <w:vMerge w:val="continue"/>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安全管理</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沿用</w:t>
            </w:r>
          </w:p>
        </w:tc>
        <w:tc>
          <w:tcPr>
            <w:tcW w:w="978"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沿用</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朱军强</w:t>
            </w:r>
          </w:p>
        </w:tc>
        <w:tc>
          <w:tcPr>
            <w:tcW w:w="1026" w:type="dxa"/>
            <w:vMerge w:val="continue"/>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安全系统工程</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林海飞</w:t>
            </w:r>
          </w:p>
        </w:tc>
        <w:tc>
          <w:tcPr>
            <w:tcW w:w="1026" w:type="dxa"/>
            <w:vMerge w:val="continue"/>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安全原理</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赵祥</w:t>
            </w:r>
          </w:p>
        </w:tc>
        <w:tc>
          <w:tcPr>
            <w:tcW w:w="1026" w:type="dxa"/>
            <w:vMerge w:val="continue"/>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安全人机工程</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朱军强</w:t>
            </w:r>
          </w:p>
        </w:tc>
        <w:tc>
          <w:tcPr>
            <w:tcW w:w="1026" w:type="dxa"/>
            <w:vMerge w:val="continue"/>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特种设备安全</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869" w:type="dxa"/>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高迎社</w:t>
            </w:r>
          </w:p>
        </w:tc>
        <w:tc>
          <w:tcPr>
            <w:tcW w:w="1026" w:type="dxa"/>
            <w:vMerge w:val="continue"/>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事故管理与应急处置</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869" w:type="dxa"/>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高迎社</w:t>
            </w:r>
          </w:p>
        </w:tc>
        <w:tc>
          <w:tcPr>
            <w:tcW w:w="1026" w:type="dxa"/>
            <w:vMerge w:val="continue"/>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职业卫生基础</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869" w:type="dxa"/>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张安</w:t>
            </w:r>
          </w:p>
        </w:tc>
        <w:tc>
          <w:tcPr>
            <w:tcW w:w="1026" w:type="dxa"/>
            <w:vMerge w:val="continue"/>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电气安全技术</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869" w:type="dxa"/>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梅仲云</w:t>
            </w:r>
          </w:p>
        </w:tc>
        <w:tc>
          <w:tcPr>
            <w:tcW w:w="1026" w:type="dxa"/>
            <w:vMerge w:val="continue"/>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kern w:val="1"/>
                <w:sz w:val="18"/>
                <w:szCs w:val="18"/>
              </w:rPr>
            </w:pPr>
            <w:r>
              <w:rPr>
                <w:rFonts w:hint="eastAsia" w:ascii="宋体" w:hAnsi="宋体" w:cs="宋体"/>
                <w:kern w:val="1"/>
                <w:sz w:val="18"/>
                <w:szCs w:val="18"/>
              </w:rPr>
              <w:t>英语Ⅰ（</w:t>
            </w:r>
            <w:r>
              <w:rPr>
                <w:rFonts w:ascii="宋体" w:hAnsi="宋体" w:cs="宋体"/>
                <w:kern w:val="1"/>
                <w:sz w:val="18"/>
                <w:szCs w:val="18"/>
              </w:rPr>
              <w:t>1</w:t>
            </w:r>
            <w:r>
              <w:rPr>
                <w:rFonts w:hint="eastAsia" w:ascii="宋体" w:hAnsi="宋体" w:cs="宋体"/>
                <w:kern w:val="1"/>
                <w:sz w:val="18"/>
                <w:szCs w:val="18"/>
              </w:rPr>
              <w:t>）</w:t>
            </w:r>
          </w:p>
        </w:tc>
        <w:tc>
          <w:tcPr>
            <w:tcW w:w="727" w:type="dxa"/>
            <w:vAlign w:val="center"/>
          </w:tcPr>
          <w:p>
            <w:pPr>
              <w:autoSpaceDE w:val="0"/>
              <w:autoSpaceDN w:val="0"/>
              <w:adjustRightInd w:val="0"/>
              <w:ind w:firstLine="0" w:firstLineChars="0"/>
              <w:jc w:val="center"/>
              <w:rPr>
                <w:rFonts w:ascii="宋体" w:hAnsi="宋体"/>
                <w:color w:val="000000"/>
                <w:kern w:val="0"/>
                <w:sz w:val="18"/>
                <w:szCs w:val="18"/>
              </w:rPr>
            </w:pPr>
            <w:r>
              <w:rPr>
                <w:rFonts w:ascii="宋体" w:hAnsi="宋体"/>
                <w:color w:val="000000"/>
                <w:kern w:val="0"/>
                <w:sz w:val="18"/>
                <w:szCs w:val="18"/>
              </w:rPr>
              <w:t>3</w:t>
            </w:r>
          </w:p>
        </w:tc>
        <w:tc>
          <w:tcPr>
            <w:tcW w:w="1018" w:type="dxa"/>
            <w:vAlign w:val="center"/>
          </w:tcPr>
          <w:p>
            <w:pPr>
              <w:ind w:firstLine="0" w:firstLineChars="0"/>
              <w:jc w:val="center"/>
              <w:rPr>
                <w:rFonts w:ascii="宋体" w:hAnsi="宋体"/>
                <w:color w:val="000000"/>
                <w:sz w:val="18"/>
                <w:szCs w:val="18"/>
              </w:rPr>
            </w:pPr>
            <w:r>
              <w:rPr>
                <w:rFonts w:ascii="宋体" w:hAnsi="宋体"/>
                <w:color w:val="000000"/>
                <w:sz w:val="18"/>
                <w:szCs w:val="18"/>
              </w:rPr>
              <w:t>1</w:t>
            </w:r>
          </w:p>
        </w:tc>
        <w:tc>
          <w:tcPr>
            <w:tcW w:w="869"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978"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韩喜春</w:t>
            </w:r>
          </w:p>
        </w:tc>
        <w:tc>
          <w:tcPr>
            <w:tcW w:w="1026" w:type="dxa"/>
            <w:vMerge w:val="restart"/>
            <w:vAlign w:val="center"/>
          </w:tcPr>
          <w:p>
            <w:pPr>
              <w:ind w:firstLine="0" w:firstLineChars="0"/>
              <w:jc w:val="center"/>
              <w:rPr>
                <w:rFonts w:ascii="宋体" w:hAnsi="宋体"/>
                <w:color w:val="000000"/>
                <w:kern w:val="0"/>
                <w:sz w:val="21"/>
                <w:szCs w:val="21"/>
              </w:rPr>
            </w:pPr>
            <w:r>
              <w:rPr>
                <w:rFonts w:ascii="宋体" w:hAnsi="宋体"/>
                <w:color w:val="000000"/>
                <w:kern w:val="0"/>
                <w:sz w:val="21"/>
                <w:szCs w:val="21"/>
              </w:rPr>
              <w:t>统</w:t>
            </w:r>
            <w:r>
              <w:rPr>
                <w:rFonts w:hint="eastAsia" w:ascii="宋体" w:hAnsi="宋体"/>
                <w:color w:val="000000"/>
                <w:kern w:val="0"/>
                <w:sz w:val="21"/>
                <w:szCs w:val="21"/>
              </w:rPr>
              <w:t>设</w:t>
            </w:r>
          </w:p>
          <w:p>
            <w:pPr>
              <w:ind w:firstLine="0" w:firstLineChars="0"/>
              <w:jc w:val="center"/>
              <w:rPr>
                <w:rFonts w:ascii="宋体" w:hAnsi="宋体"/>
                <w:color w:val="000000"/>
                <w:kern w:val="0"/>
                <w:sz w:val="21"/>
                <w:szCs w:val="21"/>
              </w:rPr>
            </w:pPr>
            <w:r>
              <w:rPr>
                <w:rFonts w:ascii="宋体" w:hAnsi="宋体"/>
                <w:color w:val="000000"/>
                <w:kern w:val="0"/>
                <w:sz w:val="21"/>
                <w:szCs w:val="21"/>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autoSpaceDE w:val="0"/>
              <w:autoSpaceDN w:val="0"/>
              <w:adjustRightInd w:val="0"/>
              <w:ind w:firstLine="0" w:firstLineChars="0"/>
              <w:rPr>
                <w:rFonts w:ascii="宋体" w:hAnsi="宋体"/>
                <w:color w:val="000000"/>
                <w:kern w:val="0"/>
                <w:sz w:val="18"/>
                <w:szCs w:val="18"/>
              </w:rPr>
            </w:pPr>
          </w:p>
        </w:tc>
        <w:tc>
          <w:tcPr>
            <w:tcW w:w="2757" w:type="dxa"/>
            <w:vAlign w:val="center"/>
          </w:tcPr>
          <w:p>
            <w:pPr>
              <w:ind w:firstLine="0" w:firstLineChars="0"/>
              <w:jc w:val="center"/>
              <w:rPr>
                <w:rFonts w:ascii="宋体" w:hAnsi="宋体" w:cs="宋体"/>
                <w:kern w:val="1"/>
                <w:sz w:val="18"/>
                <w:szCs w:val="18"/>
              </w:rPr>
            </w:pPr>
            <w:r>
              <w:rPr>
                <w:rFonts w:hint="eastAsia" w:ascii="宋体" w:hAnsi="宋体" w:cs="宋体"/>
                <w:kern w:val="1"/>
                <w:sz w:val="18"/>
                <w:szCs w:val="18"/>
              </w:rPr>
              <w:t>高等数学基础</w:t>
            </w:r>
          </w:p>
        </w:tc>
        <w:tc>
          <w:tcPr>
            <w:tcW w:w="727" w:type="dxa"/>
            <w:vAlign w:val="center"/>
          </w:tcPr>
          <w:p>
            <w:pPr>
              <w:widowControl/>
              <w:ind w:firstLine="0" w:firstLineChars="0"/>
              <w:jc w:val="center"/>
              <w:rPr>
                <w:rFonts w:ascii="宋体" w:hAnsi="宋体"/>
                <w:color w:val="000000"/>
                <w:kern w:val="0"/>
                <w:sz w:val="18"/>
                <w:szCs w:val="18"/>
              </w:rPr>
            </w:pPr>
            <w:r>
              <w:rPr>
                <w:rFonts w:ascii="宋体" w:hAnsi="宋体"/>
                <w:color w:val="000000"/>
                <w:kern w:val="0"/>
                <w:sz w:val="18"/>
                <w:szCs w:val="18"/>
              </w:rPr>
              <w:t>3</w:t>
            </w:r>
          </w:p>
        </w:tc>
        <w:tc>
          <w:tcPr>
            <w:tcW w:w="1018" w:type="dxa"/>
            <w:vAlign w:val="center"/>
          </w:tcPr>
          <w:p>
            <w:pPr>
              <w:ind w:firstLine="0" w:firstLineChars="0"/>
              <w:jc w:val="center"/>
              <w:rPr>
                <w:rFonts w:ascii="宋体" w:hAnsi="宋体"/>
                <w:color w:val="000000"/>
                <w:sz w:val="18"/>
                <w:szCs w:val="18"/>
              </w:rPr>
            </w:pPr>
            <w:r>
              <w:rPr>
                <w:rFonts w:ascii="宋体" w:hAnsi="宋体"/>
                <w:color w:val="000000"/>
                <w:sz w:val="18"/>
                <w:szCs w:val="18"/>
              </w:rPr>
              <w:t>1</w:t>
            </w:r>
          </w:p>
        </w:tc>
        <w:tc>
          <w:tcPr>
            <w:tcW w:w="869"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978"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侯新昌</w:t>
            </w:r>
          </w:p>
        </w:tc>
        <w:tc>
          <w:tcPr>
            <w:tcW w:w="1026" w:type="dxa"/>
            <w:vMerge w:val="continue"/>
            <w:vAlign w:val="center"/>
          </w:tcPr>
          <w:p>
            <w:pPr>
              <w:ind w:firstLine="0" w:firstLineChars="0"/>
              <w:jc w:val="center"/>
              <w:rPr>
                <w:rFonts w:ascii="宋体" w:hAnsi="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widowControl/>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工程制图基础</w:t>
            </w:r>
          </w:p>
        </w:tc>
        <w:tc>
          <w:tcPr>
            <w:tcW w:w="727" w:type="dxa"/>
            <w:vAlign w:val="center"/>
          </w:tcPr>
          <w:p>
            <w:pPr>
              <w:widowControl/>
              <w:snapToGrid w:val="0"/>
              <w:ind w:firstLine="0" w:firstLineChars="0"/>
              <w:jc w:val="center"/>
              <w:rPr>
                <w:rFonts w:ascii="宋体" w:hAnsi="宋体"/>
                <w:color w:val="000000"/>
                <w:kern w:val="0"/>
                <w:sz w:val="18"/>
                <w:szCs w:val="18"/>
              </w:rPr>
            </w:pPr>
            <w:r>
              <w:rPr>
                <w:rFonts w:ascii="宋体" w:hAnsi="宋体"/>
                <w:color w:val="000000"/>
                <w:kern w:val="0"/>
                <w:sz w:val="18"/>
                <w:szCs w:val="18"/>
              </w:rPr>
              <w:t>3</w:t>
            </w:r>
          </w:p>
        </w:tc>
        <w:tc>
          <w:tcPr>
            <w:tcW w:w="1018" w:type="dxa"/>
            <w:vAlign w:val="center"/>
          </w:tcPr>
          <w:p>
            <w:pPr>
              <w:ind w:firstLine="0" w:firstLineChars="0"/>
              <w:jc w:val="center"/>
              <w:rPr>
                <w:rFonts w:ascii="宋体" w:hAnsi="宋体"/>
                <w:color w:val="000000"/>
                <w:sz w:val="18"/>
                <w:szCs w:val="18"/>
              </w:rPr>
            </w:pPr>
            <w:r>
              <w:rPr>
                <w:rFonts w:ascii="宋体" w:hAnsi="宋体"/>
                <w:color w:val="000000"/>
                <w:sz w:val="18"/>
                <w:szCs w:val="18"/>
              </w:rPr>
              <w:t>1</w:t>
            </w:r>
          </w:p>
        </w:tc>
        <w:tc>
          <w:tcPr>
            <w:tcW w:w="869"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978"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沿用</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严</w:t>
            </w:r>
            <w:r>
              <w:rPr>
                <w:rFonts w:ascii="宋体" w:hAnsi="宋体" w:cs="宋体"/>
                <w:color w:val="000000"/>
                <w:kern w:val="1"/>
                <w:sz w:val="18"/>
                <w:szCs w:val="18"/>
              </w:rPr>
              <w:t>峥嵘</w:t>
            </w:r>
          </w:p>
        </w:tc>
        <w:tc>
          <w:tcPr>
            <w:tcW w:w="1026" w:type="dxa"/>
            <w:vMerge w:val="continue"/>
            <w:vAlign w:val="center"/>
          </w:tcPr>
          <w:p>
            <w:pPr>
              <w:ind w:firstLine="0" w:firstLineChars="0"/>
              <w:jc w:val="center"/>
              <w:rPr>
                <w:rFonts w:ascii="宋体" w:hAnsi="宋体" w:cs="汉鼎简仿宋"/>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widowControl/>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计算机文化基础</w:t>
            </w:r>
          </w:p>
        </w:tc>
        <w:tc>
          <w:tcPr>
            <w:tcW w:w="727" w:type="dxa"/>
            <w:vAlign w:val="center"/>
          </w:tcPr>
          <w:p>
            <w:pPr>
              <w:widowControl/>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1</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沿用</w:t>
            </w:r>
          </w:p>
        </w:tc>
        <w:tc>
          <w:tcPr>
            <w:tcW w:w="978"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沿用</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杨彩霖</w:t>
            </w:r>
          </w:p>
        </w:tc>
        <w:tc>
          <w:tcPr>
            <w:tcW w:w="1026" w:type="dxa"/>
            <w:vMerge w:val="restart"/>
            <w:vAlign w:val="center"/>
          </w:tcPr>
          <w:p>
            <w:pPr>
              <w:ind w:firstLine="0" w:firstLineChars="0"/>
              <w:jc w:val="center"/>
              <w:rPr>
                <w:rFonts w:ascii="宋体" w:hAnsi="宋体" w:cs="汉鼎简仿宋"/>
                <w:color w:val="000000"/>
                <w:kern w:val="0"/>
                <w:sz w:val="21"/>
                <w:szCs w:val="21"/>
              </w:rPr>
            </w:pPr>
            <w:r>
              <w:rPr>
                <w:rFonts w:hint="eastAsia" w:ascii="宋体" w:hAnsi="宋体"/>
                <w:color w:val="000000"/>
                <w:kern w:val="0"/>
                <w:sz w:val="21"/>
                <w:szCs w:val="21"/>
              </w:rPr>
              <w:t>非</w:t>
            </w:r>
            <w:r>
              <w:rPr>
                <w:rFonts w:ascii="宋体" w:hAnsi="宋体"/>
                <w:color w:val="000000"/>
                <w:kern w:val="0"/>
                <w:sz w:val="21"/>
                <w:szCs w:val="21"/>
              </w:rPr>
              <w:t>统</w:t>
            </w:r>
            <w:r>
              <w:rPr>
                <w:rFonts w:hint="eastAsia" w:ascii="宋体" w:hAnsi="宋体"/>
                <w:color w:val="000000"/>
                <w:kern w:val="0"/>
                <w:sz w:val="21"/>
                <w:szCs w:val="21"/>
              </w:rPr>
              <w:t>设</w:t>
            </w:r>
            <w:r>
              <w:rPr>
                <w:rFonts w:ascii="宋体" w:hAnsi="宋体"/>
                <w:color w:val="000000"/>
                <w:kern w:val="0"/>
                <w:sz w:val="21"/>
                <w:szCs w:val="21"/>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widowControl/>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工程项目管理</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869"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新</w:t>
            </w:r>
            <w:r>
              <w:rPr>
                <w:rFonts w:ascii="宋体" w:hAnsi="宋体"/>
                <w:color w:val="000000"/>
                <w:kern w:val="0"/>
                <w:sz w:val="18"/>
                <w:szCs w:val="18"/>
              </w:rPr>
              <w:t>建</w:t>
            </w:r>
          </w:p>
        </w:tc>
        <w:tc>
          <w:tcPr>
            <w:tcW w:w="978" w:type="dxa"/>
            <w:vAlign w:val="center"/>
          </w:tcPr>
          <w:p>
            <w:pPr>
              <w:autoSpaceDE w:val="0"/>
              <w:autoSpaceDN w:val="0"/>
              <w:adjustRightInd w:val="0"/>
              <w:ind w:firstLine="0" w:firstLineChars="0"/>
              <w:jc w:val="center"/>
              <w:rPr>
                <w:rFonts w:ascii="宋体" w:hAnsi="宋体"/>
                <w:color w:val="000000"/>
                <w:kern w:val="0"/>
                <w:sz w:val="18"/>
                <w:szCs w:val="18"/>
              </w:rPr>
            </w:pPr>
            <w:r>
              <w:rPr>
                <w:rFonts w:hint="eastAsia" w:ascii="宋体" w:hAnsi="宋体"/>
                <w:color w:val="000000"/>
                <w:kern w:val="0"/>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赵祥</w:t>
            </w:r>
          </w:p>
        </w:tc>
        <w:tc>
          <w:tcPr>
            <w:tcW w:w="1026" w:type="dxa"/>
            <w:vMerge w:val="continue"/>
            <w:vAlign w:val="center"/>
          </w:tcPr>
          <w:p>
            <w:pPr>
              <w:ind w:firstLine="0" w:firstLineChars="0"/>
              <w:jc w:val="center"/>
              <w:rPr>
                <w:rFonts w:ascii="汉鼎简仿宋" w:hAnsi="宋体" w:eastAsia="汉鼎简仿宋"/>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工业通风及除尘</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869"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马乐为</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流体力学与热工学基础</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869"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王青</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安全管理文书写作</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1</w:t>
            </w:r>
          </w:p>
        </w:tc>
        <w:tc>
          <w:tcPr>
            <w:tcW w:w="869" w:type="dxa"/>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李</w:t>
            </w:r>
            <w:r>
              <w:rPr>
                <w:rFonts w:ascii="宋体" w:hAnsi="宋体" w:cs="宋体"/>
                <w:color w:val="000000"/>
                <w:kern w:val="1"/>
                <w:sz w:val="18"/>
                <w:szCs w:val="18"/>
              </w:rPr>
              <w:t>凯</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信息管理系统</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869" w:type="dxa"/>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史永哲</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安全评价</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869" w:type="dxa"/>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张振宇</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防火防爆技术</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869" w:type="dxa"/>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刘健康</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安全监测与监控</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吕振</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安全法规</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曹婷帅</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高危行业安全</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2</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吕振</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工业通风除尘课程设计</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马乐为</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防火防爆课程设计</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刘健康</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安全评价课程设计</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张振宇</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职业危害因素分析评价</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吕振</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消防安全</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马乐为</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建筑施工安全</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4</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曹婷帅</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Align w:val="center"/>
          </w:tcPr>
          <w:p>
            <w:pPr>
              <w:numPr>
                <w:ilvl w:val="0"/>
                <w:numId w:val="7"/>
              </w:numPr>
              <w:autoSpaceDE w:val="0"/>
              <w:autoSpaceDN w:val="0"/>
              <w:adjustRightInd w:val="0"/>
              <w:spacing w:line="240" w:lineRule="auto"/>
              <w:ind w:firstLineChars="0"/>
              <w:rPr>
                <w:rFonts w:eastAsia="汉鼎简仿宋"/>
                <w:color w:val="000000"/>
                <w:kern w:val="0"/>
              </w:rPr>
            </w:pPr>
          </w:p>
        </w:tc>
        <w:tc>
          <w:tcPr>
            <w:tcW w:w="791" w:type="dxa"/>
            <w:vMerge w:val="continue"/>
            <w:vAlign w:val="center"/>
          </w:tcPr>
          <w:p>
            <w:pPr>
              <w:ind w:firstLine="0" w:firstLineChars="0"/>
              <w:jc w:val="left"/>
              <w:rPr>
                <w:rFonts w:ascii="宋体" w:hAnsi="宋体"/>
                <w:color w:val="000000"/>
                <w:kern w:val="0"/>
                <w:position w:val="-2"/>
                <w:sz w:val="18"/>
                <w:szCs w:val="18"/>
              </w:rPr>
            </w:pPr>
          </w:p>
        </w:tc>
        <w:tc>
          <w:tcPr>
            <w:tcW w:w="724" w:type="dxa"/>
            <w:vMerge w:val="continue"/>
            <w:vAlign w:val="center"/>
          </w:tcPr>
          <w:p>
            <w:pPr>
              <w:ind w:firstLine="0" w:firstLineChars="0"/>
              <w:jc w:val="left"/>
              <w:rPr>
                <w:rFonts w:ascii="宋体" w:hAnsi="宋体"/>
                <w:color w:val="000000"/>
                <w:kern w:val="0"/>
                <w:sz w:val="18"/>
                <w:szCs w:val="18"/>
              </w:rPr>
            </w:pPr>
          </w:p>
        </w:tc>
        <w:tc>
          <w:tcPr>
            <w:tcW w:w="2757"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安全工程师培训课程</w:t>
            </w:r>
          </w:p>
        </w:tc>
        <w:tc>
          <w:tcPr>
            <w:tcW w:w="727"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3</w:t>
            </w:r>
          </w:p>
        </w:tc>
        <w:tc>
          <w:tcPr>
            <w:tcW w:w="1018" w:type="dxa"/>
            <w:vAlign w:val="center"/>
          </w:tcPr>
          <w:p>
            <w:pPr>
              <w:ind w:firstLine="0" w:firstLineChars="0"/>
              <w:jc w:val="center"/>
              <w:rPr>
                <w:rFonts w:ascii="宋体" w:hAnsi="宋体"/>
                <w:color w:val="000000"/>
                <w:kern w:val="1"/>
                <w:sz w:val="18"/>
                <w:szCs w:val="18"/>
              </w:rPr>
            </w:pPr>
            <w:r>
              <w:rPr>
                <w:rFonts w:ascii="宋体" w:hAnsi="宋体"/>
                <w:color w:val="000000"/>
                <w:kern w:val="1"/>
                <w:sz w:val="18"/>
                <w:szCs w:val="18"/>
              </w:rPr>
              <w:t>5</w:t>
            </w:r>
          </w:p>
        </w:tc>
        <w:tc>
          <w:tcPr>
            <w:tcW w:w="869" w:type="dxa"/>
            <w:vAlign w:val="center"/>
          </w:tcPr>
          <w:p>
            <w:pPr>
              <w:autoSpaceDE w:val="0"/>
              <w:autoSpaceDN w:val="0"/>
              <w:adjustRightInd w:val="0"/>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新建</w:t>
            </w:r>
          </w:p>
        </w:tc>
        <w:tc>
          <w:tcPr>
            <w:tcW w:w="978" w:type="dxa"/>
            <w:vAlign w:val="center"/>
          </w:tcPr>
          <w:p>
            <w:pPr>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新试卷</w:t>
            </w:r>
          </w:p>
        </w:tc>
        <w:tc>
          <w:tcPr>
            <w:tcW w:w="1390" w:type="dxa"/>
            <w:vAlign w:val="center"/>
          </w:tcPr>
          <w:p>
            <w:pPr>
              <w:widowControl/>
              <w:ind w:firstLine="0" w:firstLineChars="0"/>
              <w:jc w:val="center"/>
              <w:rPr>
                <w:rFonts w:ascii="宋体" w:hAnsi="宋体" w:cs="宋体"/>
                <w:color w:val="000000"/>
                <w:kern w:val="1"/>
                <w:sz w:val="18"/>
                <w:szCs w:val="18"/>
              </w:rPr>
            </w:pPr>
            <w:r>
              <w:rPr>
                <w:rFonts w:hint="eastAsia" w:ascii="宋体" w:hAnsi="宋体" w:cs="宋体"/>
                <w:color w:val="000000"/>
                <w:kern w:val="1"/>
                <w:sz w:val="18"/>
                <w:szCs w:val="18"/>
              </w:rPr>
              <w:t>崔晓红</w:t>
            </w:r>
          </w:p>
        </w:tc>
        <w:tc>
          <w:tcPr>
            <w:tcW w:w="1026" w:type="dxa"/>
            <w:vMerge w:val="continue"/>
          </w:tcPr>
          <w:p>
            <w:pPr>
              <w:widowControl/>
              <w:ind w:firstLine="0" w:firstLineChars="0"/>
              <w:rPr>
                <w:rFonts w:ascii="汉鼎简仿宋" w:hAnsi="宋体" w:eastAsia="汉鼎简仿宋" w:cs="汉鼎简仿宋"/>
                <w:color w:val="000000"/>
                <w:kern w:val="0"/>
                <w:sz w:val="21"/>
              </w:rPr>
            </w:pPr>
          </w:p>
        </w:tc>
      </w:tr>
    </w:tbl>
    <w:p>
      <w:pPr>
        <w:spacing w:line="240" w:lineRule="auto"/>
        <w:ind w:firstLine="0" w:firstLineChars="0"/>
        <w:rPr>
          <w:color w:val="000000"/>
          <w:sz w:val="21"/>
        </w:rPr>
      </w:pPr>
    </w:p>
    <w:p>
      <w:pPr>
        <w:spacing w:line="240" w:lineRule="auto"/>
        <w:ind w:firstLine="0" w:firstLineChars="0"/>
        <w:rPr>
          <w:color w:val="000000"/>
          <w:sz w:val="21"/>
        </w:rPr>
      </w:pPr>
    </w:p>
    <w:p>
      <w:pPr>
        <w:spacing w:line="240" w:lineRule="auto"/>
        <w:ind w:firstLine="0" w:firstLineChars="0"/>
        <w:rPr>
          <w:color w:val="000000"/>
          <w:sz w:val="21"/>
        </w:rPr>
      </w:pPr>
    </w:p>
    <w:p>
      <w:pPr>
        <w:spacing w:line="240" w:lineRule="auto"/>
        <w:ind w:firstLine="0" w:firstLineChars="0"/>
        <w:rPr>
          <w:color w:val="000000"/>
          <w:sz w:val="21"/>
        </w:rPr>
      </w:pPr>
    </w:p>
    <w:p>
      <w:pPr>
        <w:spacing w:line="240" w:lineRule="auto"/>
        <w:ind w:firstLine="0" w:firstLineChars="0"/>
        <w:rPr>
          <w:color w:val="000000"/>
          <w:sz w:val="21"/>
        </w:rPr>
      </w:pPr>
    </w:p>
    <w:p>
      <w:pPr>
        <w:spacing w:line="240" w:lineRule="auto"/>
        <w:ind w:firstLine="0" w:firstLineChars="0"/>
        <w:rPr>
          <w:color w:val="000000"/>
          <w:sz w:val="21"/>
        </w:rPr>
      </w:pPr>
    </w:p>
    <w:p>
      <w:pPr>
        <w:spacing w:line="240" w:lineRule="auto"/>
        <w:ind w:firstLine="0" w:firstLineChars="0"/>
        <w:rPr>
          <w:color w:val="000000"/>
          <w:sz w:val="21"/>
        </w:rPr>
      </w:pPr>
    </w:p>
    <w:p>
      <w:pPr>
        <w:ind w:firstLine="0" w:firstLineChars="0"/>
        <w:rPr>
          <w:rFonts w:ascii="宋体" w:hAnsi="宋体"/>
          <w:sz w:val="21"/>
          <w:szCs w:val="21"/>
        </w:rPr>
      </w:pPr>
    </w:p>
    <w:sectPr>
      <w:footerReference r:id="rId12" w:type="default"/>
      <w:pgSz w:w="11906" w:h="16838"/>
      <w:pgMar w:top="1418" w:right="1134" w:bottom="1134" w:left="1588" w:header="851" w:footer="680" w:gutter="0"/>
      <w:pgNumType w:fmt="decimal"/>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方正楷体简体">
    <w:altName w:val="宋体"/>
    <w:panose1 w:val="02010601030101010101"/>
    <w:charset w:val="86"/>
    <w:family w:val="auto"/>
    <w:pitch w:val="default"/>
    <w:sig w:usb0="00000000" w:usb1="00000000" w:usb2="00000000" w:usb3="00000000" w:csb0="00040000" w:csb1="00000000"/>
  </w:font>
  <w:font w:name="方正书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汉鼎简仿宋">
    <w:altName w:val="仿宋"/>
    <w:panose1 w:val="0201060901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rPr>
        <w:rFonts w:hint="eastAsia" w:eastAsia="宋体"/>
        <w:lang w:val="en-US" w:eastAsia="zh-CN"/>
      </w:rPr>
    </w:pPr>
    <w:r>
      <w:rPr>
        <w:sz w:val="18"/>
      </w:rPr>
      <w:pict>
        <v:shape id="_x0000_s3077" o:spid="_x0000_s307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39</w:t>
                </w:r>
                <w:r>
                  <w:rPr>
                    <w:rFonts w:hint="eastAsia"/>
                    <w:sz w:val="18"/>
                    <w:lang w:eastAsia="zh-CN"/>
                  </w:rPr>
                  <w:fldChar w:fldCharType="end"/>
                </w:r>
              </w:p>
            </w:txbxContent>
          </v:textbox>
        </v:shape>
      </w:pict>
    </w:r>
    <w:r>
      <w:rPr>
        <w:rFonts w:hint="eastAsia"/>
        <w:lang w:val="en-US" w:eastAsia="zh-CN"/>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w:rPr>
        <w:sz w:val="18"/>
      </w:rPr>
      <w:pict>
        <v:shape id="_x0000_s3078" o:spid="_x0000_s307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w:rPr>
        <w:sz w:val="18"/>
      </w:rPr>
      <w:pict>
        <v:shape id="_x0000_s3079" o:spid="_x0000_s307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39</w:t>
                </w:r>
                <w:r>
                  <w:rPr>
                    <w:rFonts w:hint="eastAsia"/>
                    <w:sz w:val="18"/>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3D3B4C"/>
    <w:multiLevelType w:val="multilevel"/>
    <w:tmpl w:val="083D3B4C"/>
    <w:lvl w:ilvl="0" w:tentative="0">
      <w:start w:val="1"/>
      <w:numFmt w:val="decimal"/>
      <w:lvlText w:val="  %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91E28D4"/>
    <w:multiLevelType w:val="multilevel"/>
    <w:tmpl w:val="291E28D4"/>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F716171"/>
    <w:multiLevelType w:val="multilevel"/>
    <w:tmpl w:val="4F716171"/>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3">
    <w:nsid w:val="532D326C"/>
    <w:multiLevelType w:val="multilevel"/>
    <w:tmpl w:val="532D326C"/>
    <w:lvl w:ilvl="0" w:tentative="0">
      <w:start w:val="1"/>
      <w:numFmt w:val="decimal"/>
      <w:lvlText w:val="  %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64E33F0"/>
    <w:multiLevelType w:val="multilevel"/>
    <w:tmpl w:val="564E33F0"/>
    <w:lvl w:ilvl="0" w:tentative="0">
      <w:start w:val="1"/>
      <w:numFmt w:val="decimal"/>
      <w:lvlText w:val="  %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9EC626A"/>
    <w:multiLevelType w:val="multilevel"/>
    <w:tmpl w:val="69EC626A"/>
    <w:lvl w:ilvl="0" w:tentative="0">
      <w:start w:val="1"/>
      <w:numFmt w:val="decimal"/>
      <w:suff w:val="space"/>
      <w:lvlText w:val="%1."/>
      <w:lvlJc w:val="left"/>
      <w:pPr>
        <w:ind w:left="922" w:hanging="360"/>
      </w:pPr>
      <w:rPr>
        <w:rFonts w:hint="default" w:ascii="Times New Roman" w:hAnsi="Times New Roman" w:cs="Times New Roman"/>
        <w:b/>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6">
    <w:nsid w:val="7D4926AB"/>
    <w:multiLevelType w:val="multilevel"/>
    <w:tmpl w:val="7D4926AB"/>
    <w:lvl w:ilvl="0" w:tentative="0">
      <w:start w:val="1"/>
      <w:numFmt w:val="decimal"/>
      <w:lvlText w:val="  %1"/>
      <w:lvlJc w:val="left"/>
      <w:pPr>
        <w:ind w:left="420" w:hanging="420"/>
      </w:pPr>
      <w:rPr>
        <w:rFonts w:hint="eastAsia"/>
        <w:sz w:val="21"/>
        <w:szCs w:val="21"/>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533E"/>
    <w:rsid w:val="00033E64"/>
    <w:rsid w:val="0012271D"/>
    <w:rsid w:val="001E533E"/>
    <w:rsid w:val="003061AA"/>
    <w:rsid w:val="00330B9B"/>
    <w:rsid w:val="00341BF0"/>
    <w:rsid w:val="0034482B"/>
    <w:rsid w:val="005C1C46"/>
    <w:rsid w:val="00616E50"/>
    <w:rsid w:val="00666091"/>
    <w:rsid w:val="00697498"/>
    <w:rsid w:val="007803B9"/>
    <w:rsid w:val="007A522C"/>
    <w:rsid w:val="007D2A96"/>
    <w:rsid w:val="009117DC"/>
    <w:rsid w:val="009B6C0F"/>
    <w:rsid w:val="009D7AEF"/>
    <w:rsid w:val="00A40783"/>
    <w:rsid w:val="00CC53AC"/>
    <w:rsid w:val="00CD19B0"/>
    <w:rsid w:val="00ED1CFA"/>
    <w:rsid w:val="1D623751"/>
    <w:rsid w:val="206A23EA"/>
    <w:rsid w:val="29A50A3D"/>
    <w:rsid w:val="35541C04"/>
    <w:rsid w:val="39CF4D9F"/>
    <w:rsid w:val="3B681B11"/>
    <w:rsid w:val="3DC023DA"/>
    <w:rsid w:val="4C05466C"/>
    <w:rsid w:val="4C657407"/>
    <w:rsid w:val="74424C6C"/>
    <w:rsid w:val="7E0F0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24"/>
    <w:qFormat/>
    <w:uiPriority w:val="0"/>
    <w:pPr>
      <w:keepNext/>
      <w:keepLines/>
      <w:spacing w:beforeLines="100" w:afterLines="100"/>
      <w:jc w:val="left"/>
      <w:outlineLvl w:val="0"/>
    </w:pPr>
    <w:rPr>
      <w:b/>
      <w:bCs/>
      <w:kern w:val="44"/>
      <w:szCs w:val="44"/>
    </w:rPr>
  </w:style>
  <w:style w:type="paragraph" w:styleId="3">
    <w:name w:val="heading 3"/>
    <w:basedOn w:val="1"/>
    <w:next w:val="1"/>
    <w:link w:val="42"/>
    <w:qFormat/>
    <w:uiPriority w:val="0"/>
    <w:pPr>
      <w:widowControl/>
      <w:spacing w:before="206" w:after="206" w:line="240" w:lineRule="atLeast"/>
      <w:jc w:val="left"/>
      <w:outlineLvl w:val="2"/>
    </w:pPr>
    <w:rPr>
      <w:rFonts w:ascii="宋体" w:hAnsi="宋体" w:cs="宋体"/>
      <w:b/>
      <w:bCs/>
      <w:kern w:val="0"/>
      <w:sz w:val="45"/>
      <w:szCs w:val="45"/>
    </w:rPr>
  </w:style>
  <w:style w:type="character" w:default="1" w:styleId="18">
    <w:name w:val="Default Paragraph Font"/>
    <w:unhideWhenUsed/>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4">
    <w:name w:val="annotation text"/>
    <w:basedOn w:val="1"/>
    <w:link w:val="35"/>
    <w:unhideWhenUsed/>
    <w:qFormat/>
    <w:uiPriority w:val="99"/>
    <w:pPr>
      <w:jc w:val="left"/>
    </w:pPr>
  </w:style>
  <w:style w:type="paragraph" w:styleId="5">
    <w:name w:val="Plain Text"/>
    <w:basedOn w:val="1"/>
    <w:link w:val="28"/>
    <w:qFormat/>
    <w:uiPriority w:val="0"/>
    <w:rPr>
      <w:rFonts w:ascii="宋体" w:hAnsi="Courier New" w:cs="Courier New"/>
      <w:szCs w:val="21"/>
    </w:rPr>
  </w:style>
  <w:style w:type="paragraph" w:styleId="6">
    <w:name w:val="Balloon Text"/>
    <w:basedOn w:val="1"/>
    <w:link w:val="32"/>
    <w:unhideWhenUsed/>
    <w:uiPriority w:val="0"/>
    <w:rPr>
      <w:sz w:val="18"/>
      <w:szCs w:val="18"/>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2"/>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right" w:leader="dot" w:pos="9174"/>
      </w:tabs>
      <w:ind w:firstLine="0" w:firstLineChars="0"/>
      <w:jc w:val="distribute"/>
    </w:pPr>
  </w:style>
  <w:style w:type="paragraph" w:styleId="10">
    <w:name w:val="Subtitle"/>
    <w:basedOn w:val="1"/>
    <w:next w:val="1"/>
    <w:link w:val="39"/>
    <w:qFormat/>
    <w:uiPriority w:val="0"/>
    <w:pPr>
      <w:spacing w:before="240" w:after="60" w:line="312" w:lineRule="auto"/>
      <w:jc w:val="left"/>
      <w:outlineLvl w:val="1"/>
    </w:pPr>
    <w:rPr>
      <w:rFonts w:asciiTheme="majorHAnsi" w:hAnsiTheme="majorHAnsi" w:cstheme="majorBidi"/>
      <w:b/>
      <w:bCs/>
      <w:kern w:val="28"/>
      <w:szCs w:val="32"/>
    </w:rPr>
  </w:style>
  <w:style w:type="paragraph" w:styleId="11">
    <w:name w:val="Body Text Indent 3"/>
    <w:basedOn w:val="1"/>
    <w:link w:val="27"/>
    <w:qFormat/>
    <w:uiPriority w:val="0"/>
    <w:pPr>
      <w:spacing w:after="120"/>
      <w:ind w:left="420" w:leftChars="200"/>
    </w:pPr>
    <w:rPr>
      <w:rFonts w:asciiTheme="minorHAnsi" w:hAnsiTheme="minorHAnsi" w:cstheme="minorBidi"/>
      <w:sz w:val="16"/>
      <w:szCs w:val="16"/>
    </w:rPr>
  </w:style>
  <w:style w:type="paragraph" w:styleId="12">
    <w:name w:val="toc 2"/>
    <w:basedOn w:val="1"/>
    <w:next w:val="1"/>
    <w:unhideWhenUsed/>
    <w:qFormat/>
    <w:uiPriority w:val="39"/>
    <w:pPr>
      <w:ind w:left="420" w:leftChars="200"/>
    </w:pPr>
  </w:style>
  <w:style w:type="paragraph" w:styleId="13">
    <w:name w:val="Normal (Web)"/>
    <w:basedOn w:val="1"/>
    <w:qFormat/>
    <w:uiPriority w:val="0"/>
    <w:pPr>
      <w:widowControl/>
      <w:spacing w:before="100" w:beforeAutospacing="1" w:after="100" w:afterAutospacing="1"/>
      <w:jc w:val="left"/>
    </w:pPr>
    <w:rPr>
      <w:rFonts w:ascii="宋体" w:hAnsi="宋体" w:cs="宋体"/>
      <w:kern w:val="0"/>
    </w:rPr>
  </w:style>
  <w:style w:type="paragraph" w:styleId="14">
    <w:name w:val="Title"/>
    <w:basedOn w:val="1"/>
    <w:next w:val="1"/>
    <w:link w:val="37"/>
    <w:qFormat/>
    <w:uiPriority w:val="0"/>
    <w:pPr>
      <w:spacing w:before="240" w:after="60"/>
      <w:jc w:val="left"/>
      <w:outlineLvl w:val="0"/>
    </w:pPr>
    <w:rPr>
      <w:rFonts w:eastAsia="黑体" w:asciiTheme="majorHAnsi" w:hAnsiTheme="majorHAnsi" w:cstheme="majorBidi"/>
      <w:b/>
      <w:bCs/>
      <w:sz w:val="32"/>
      <w:szCs w:val="32"/>
    </w:rPr>
  </w:style>
  <w:style w:type="paragraph" w:styleId="15">
    <w:name w:val="annotation subject"/>
    <w:basedOn w:val="4"/>
    <w:next w:val="4"/>
    <w:link w:val="36"/>
    <w:unhideWhenUsed/>
    <w:qFormat/>
    <w:uiPriority w:val="0"/>
    <w:rPr>
      <w:b/>
      <w:bCs/>
    </w:rPr>
  </w:style>
  <w:style w:type="table" w:styleId="17">
    <w:name w:val="Table Grid"/>
    <w:basedOn w:val="1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Hyperlink"/>
    <w:basedOn w:val="18"/>
    <w:unhideWhenUsed/>
    <w:qFormat/>
    <w:uiPriority w:val="99"/>
    <w:rPr>
      <w:color w:val="0000FF" w:themeColor="hyperlink"/>
      <w:u w:val="single"/>
    </w:rPr>
  </w:style>
  <w:style w:type="character" w:styleId="21">
    <w:name w:val="annotation reference"/>
    <w:basedOn w:val="18"/>
    <w:unhideWhenUsed/>
    <w:qFormat/>
    <w:uiPriority w:val="99"/>
    <w:rPr>
      <w:sz w:val="21"/>
      <w:szCs w:val="21"/>
    </w:rPr>
  </w:style>
  <w:style w:type="character" w:customStyle="1" w:styleId="22">
    <w:name w:val="页眉 Char"/>
    <w:basedOn w:val="18"/>
    <w:link w:val="8"/>
    <w:qFormat/>
    <w:uiPriority w:val="0"/>
    <w:rPr>
      <w:sz w:val="18"/>
      <w:szCs w:val="18"/>
    </w:rPr>
  </w:style>
  <w:style w:type="character" w:customStyle="1" w:styleId="23">
    <w:name w:val="页脚 Char"/>
    <w:basedOn w:val="18"/>
    <w:link w:val="7"/>
    <w:qFormat/>
    <w:uiPriority w:val="99"/>
    <w:rPr>
      <w:sz w:val="18"/>
      <w:szCs w:val="18"/>
    </w:rPr>
  </w:style>
  <w:style w:type="character" w:customStyle="1" w:styleId="24">
    <w:name w:val="标题 1 Char"/>
    <w:basedOn w:val="18"/>
    <w:link w:val="2"/>
    <w:qFormat/>
    <w:uiPriority w:val="0"/>
    <w:rPr>
      <w:rFonts w:ascii="Times New Roman" w:hAnsi="Times New Roman" w:eastAsia="宋体" w:cs="Times New Roman"/>
      <w:b/>
      <w:bCs/>
      <w:kern w:val="44"/>
      <w:sz w:val="24"/>
      <w:szCs w:val="44"/>
    </w:rPr>
  </w:style>
  <w:style w:type="character" w:customStyle="1" w:styleId="25">
    <w:name w:val="med"/>
    <w:basedOn w:val="18"/>
    <w:qFormat/>
    <w:uiPriority w:val="0"/>
  </w:style>
  <w:style w:type="character" w:customStyle="1" w:styleId="26">
    <w:name w:val="正文文本缩进 3 Char"/>
    <w:link w:val="11"/>
    <w:qFormat/>
    <w:uiPriority w:val="0"/>
    <w:rPr>
      <w:rFonts w:eastAsia="宋体"/>
      <w:sz w:val="16"/>
      <w:szCs w:val="16"/>
    </w:rPr>
  </w:style>
  <w:style w:type="character" w:customStyle="1" w:styleId="27">
    <w:name w:val="正文文本缩进 3 Char1"/>
    <w:basedOn w:val="18"/>
    <w:link w:val="11"/>
    <w:semiHidden/>
    <w:qFormat/>
    <w:uiPriority w:val="99"/>
    <w:rPr>
      <w:rFonts w:ascii="Times New Roman" w:hAnsi="Times New Roman" w:eastAsia="宋体" w:cs="Times New Roman"/>
      <w:sz w:val="16"/>
      <w:szCs w:val="16"/>
    </w:rPr>
  </w:style>
  <w:style w:type="character" w:customStyle="1" w:styleId="28">
    <w:name w:val="纯文本 Char"/>
    <w:basedOn w:val="18"/>
    <w:link w:val="5"/>
    <w:qFormat/>
    <w:uiPriority w:val="0"/>
    <w:rPr>
      <w:rFonts w:ascii="宋体" w:hAnsi="Courier New" w:eastAsia="宋体" w:cs="Courier New"/>
      <w:sz w:val="24"/>
      <w:szCs w:val="21"/>
    </w:rPr>
  </w:style>
  <w:style w:type="paragraph" w:customStyle="1" w:styleId="29">
    <w:name w:val="p0"/>
    <w:basedOn w:val="1"/>
    <w:qFormat/>
    <w:uiPriority w:val="99"/>
    <w:pPr>
      <w:widowControl/>
    </w:pPr>
    <w:rPr>
      <w:rFonts w:ascii="Calibri" w:hAnsi="Calibri"/>
      <w:szCs w:val="22"/>
    </w:rPr>
  </w:style>
  <w:style w:type="paragraph" w:customStyle="1" w:styleId="30">
    <w:name w:val="List Paragraph1"/>
    <w:basedOn w:val="1"/>
    <w:qFormat/>
    <w:uiPriority w:val="99"/>
    <w:pPr>
      <w:ind w:firstLine="420"/>
    </w:pPr>
    <w:rPr>
      <w:rFonts w:ascii="Calibri" w:hAnsi="Calibri"/>
      <w:szCs w:val="22"/>
    </w:rPr>
  </w:style>
  <w:style w:type="paragraph" w:customStyle="1" w:styleId="31">
    <w:name w:val="List Paragraph"/>
    <w:basedOn w:val="1"/>
    <w:qFormat/>
    <w:uiPriority w:val="34"/>
    <w:pPr>
      <w:ind w:firstLine="420"/>
    </w:pPr>
  </w:style>
  <w:style w:type="character" w:customStyle="1" w:styleId="32">
    <w:name w:val="批注框文本 Char"/>
    <w:basedOn w:val="18"/>
    <w:link w:val="6"/>
    <w:qFormat/>
    <w:uiPriority w:val="0"/>
    <w:rPr>
      <w:rFonts w:ascii="Times New Roman" w:hAnsi="Times New Roman" w:eastAsia="宋体" w:cs="Times New Roman"/>
      <w:sz w:val="18"/>
      <w:szCs w:val="18"/>
    </w:rPr>
  </w:style>
  <w:style w:type="character" w:customStyle="1" w:styleId="33">
    <w:name w:val="Placeholder Text"/>
    <w:basedOn w:val="18"/>
    <w:semiHidden/>
    <w:qFormat/>
    <w:uiPriority w:val="99"/>
    <w:rPr>
      <w:color w:val="808080"/>
    </w:rPr>
  </w:style>
  <w:style w:type="paragraph" w:customStyle="1" w:styleId="34">
    <w:name w:val="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35">
    <w:name w:val="批注文字 Char"/>
    <w:basedOn w:val="18"/>
    <w:link w:val="4"/>
    <w:qFormat/>
    <w:uiPriority w:val="99"/>
    <w:rPr>
      <w:rFonts w:ascii="Times New Roman" w:hAnsi="Times New Roman" w:eastAsia="宋体" w:cs="Times New Roman"/>
      <w:sz w:val="24"/>
      <w:szCs w:val="24"/>
    </w:rPr>
  </w:style>
  <w:style w:type="character" w:customStyle="1" w:styleId="36">
    <w:name w:val="批注主题 Char"/>
    <w:basedOn w:val="35"/>
    <w:link w:val="15"/>
    <w:semiHidden/>
    <w:qFormat/>
    <w:uiPriority w:val="0"/>
    <w:rPr>
      <w:b/>
      <w:bCs/>
    </w:rPr>
  </w:style>
  <w:style w:type="character" w:customStyle="1" w:styleId="37">
    <w:name w:val="标题 Char"/>
    <w:basedOn w:val="18"/>
    <w:link w:val="14"/>
    <w:qFormat/>
    <w:uiPriority w:val="0"/>
    <w:rPr>
      <w:rFonts w:eastAsia="黑体" w:asciiTheme="majorHAnsi" w:hAnsiTheme="majorHAnsi" w:cstheme="majorBidi"/>
      <w:b/>
      <w:bCs/>
      <w:sz w:val="32"/>
      <w:szCs w:val="32"/>
    </w:rPr>
  </w:style>
  <w:style w:type="paragraph" w:customStyle="1" w:styleId="38">
    <w:name w:val="TOC Heading"/>
    <w:basedOn w:val="2"/>
    <w:next w:val="1"/>
    <w:unhideWhenUsed/>
    <w:qFormat/>
    <w:uiPriority w:val="39"/>
    <w:pPr>
      <w:widowControl/>
      <w:spacing w:before="240" w:line="259" w:lineRule="auto"/>
      <w:outlineLvl w:val="9"/>
    </w:pPr>
    <w:rPr>
      <w:rFonts w:asciiTheme="majorHAnsi" w:hAnsiTheme="majorHAnsi" w:eastAsiaTheme="majorEastAsia" w:cstheme="majorBidi"/>
      <w:b w:val="0"/>
      <w:bCs w:val="0"/>
      <w:color w:val="366091" w:themeColor="accent1" w:themeShade="BF"/>
      <w:kern w:val="0"/>
      <w:sz w:val="32"/>
      <w:szCs w:val="32"/>
    </w:rPr>
  </w:style>
  <w:style w:type="character" w:customStyle="1" w:styleId="39">
    <w:name w:val="副标题 Char"/>
    <w:basedOn w:val="18"/>
    <w:link w:val="10"/>
    <w:qFormat/>
    <w:uiPriority w:val="0"/>
    <w:rPr>
      <w:rFonts w:eastAsia="宋体" w:asciiTheme="majorHAnsi" w:hAnsiTheme="majorHAnsi" w:cstheme="majorBidi"/>
      <w:b/>
      <w:bCs/>
      <w:kern w:val="28"/>
      <w:sz w:val="24"/>
      <w:szCs w:val="32"/>
    </w:rPr>
  </w:style>
  <w:style w:type="paragraph" w:customStyle="1" w:styleId="40">
    <w:name w:val="图片"/>
    <w:basedOn w:val="1"/>
    <w:qFormat/>
    <w:uiPriority w:val="0"/>
    <w:pPr>
      <w:spacing w:line="240" w:lineRule="auto"/>
      <w:ind w:firstLine="0" w:firstLineChars="0"/>
      <w:jc w:val="center"/>
    </w:pPr>
    <w:rPr>
      <w:rFonts w:ascii="方正楷体简体" w:eastAsia="方正书宋简体"/>
      <w:sz w:val="21"/>
      <w:szCs w:val="18"/>
    </w:rPr>
  </w:style>
  <w:style w:type="paragraph" w:customStyle="1" w:styleId="41">
    <w:name w:val="列出段落1"/>
    <w:basedOn w:val="1"/>
    <w:qFormat/>
    <w:uiPriority w:val="34"/>
    <w:pPr>
      <w:spacing w:line="240" w:lineRule="auto"/>
      <w:ind w:firstLine="420"/>
    </w:pPr>
    <w:rPr>
      <w:rFonts w:asciiTheme="minorHAnsi" w:hAnsiTheme="minorHAnsi" w:eastAsiaTheme="minorEastAsia" w:cstheme="minorBidi"/>
      <w:sz w:val="21"/>
      <w:szCs w:val="22"/>
    </w:rPr>
  </w:style>
  <w:style w:type="character" w:customStyle="1" w:styleId="42">
    <w:name w:val="标题 3 Char"/>
    <w:basedOn w:val="18"/>
    <w:link w:val="3"/>
    <w:qFormat/>
    <w:uiPriority w:val="0"/>
    <w:rPr>
      <w:rFonts w:ascii="宋体" w:hAnsi="宋体" w:eastAsia="宋体" w:cs="宋体"/>
      <w:b/>
      <w:bCs/>
      <w:kern w:val="0"/>
      <w:sz w:val="45"/>
      <w:szCs w:val="45"/>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7" textRotate="1"/>
    <customShpInfo spid="_x0000_s3078" textRotate="1"/>
    <customShpInfo spid="_x0000_s3079" textRotate="1"/>
    <customShpInfo spid="_x0000_s206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7138</Words>
  <Characters>40687</Characters>
  <Lines>339</Lines>
  <Paragraphs>95</Paragraphs>
  <TotalTime>0</TotalTime>
  <ScaleCrop>false</ScaleCrop>
  <LinksUpToDate>false</LinksUpToDate>
  <CharactersWithSpaces>47730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2016-07-20T07:08:00Z</dcterms:created>
  <dc:creator>6NHYQ42</dc:creator>
  <cp:lastModifiedBy>小岛元太</cp:lastModifiedBy>
  <cp:lastPrinted>2016-07-21T04:31:00Z</cp:lastPrinted>
  <dcterms:modified xsi:type="dcterms:W3CDTF">2021-11-10T01:41:09Z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C9D21A54280D4A239220C71EDA51C541</vt:lpwstr>
  </property>
</Properties>
</file>